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outlineLvl w:val="9"/>
        <w:rPr>
          <w:rFonts w:hint="eastAsia"/>
          <w:sz w:val="40"/>
          <w:szCs w:val="40"/>
          <w:lang w:val="en-US" w:eastAsia="zh-CN"/>
        </w:rPr>
      </w:pPr>
      <w:bookmarkStart w:id="0" w:name="_Toc24142842"/>
      <w:bookmarkStart w:id="1" w:name="_Toc24134192"/>
    </w:p>
    <w:p>
      <w:pPr>
        <w:pStyle w:val="4"/>
        <w:numPr>
          <w:ilvl w:val="0"/>
          <w:numId w:val="0"/>
        </w:numPr>
        <w:ind w:leftChars="0"/>
        <w:jc w:val="center"/>
        <w:outlineLvl w:val="9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采购系统操作手册—教师（采购者）</w:t>
      </w:r>
    </w:p>
    <w:p>
      <w:pPr>
        <w:rPr>
          <w:rFonts w:hint="default"/>
          <w:lang w:val="en-US" w:eastAsia="zh-CN"/>
        </w:rPr>
      </w:pPr>
    </w:p>
    <w:sdt>
      <w:sdtPr>
        <w:rPr>
          <w:rFonts w:ascii="宋体" w:hAnsi="宋体" w:eastAsia="宋体" w:cs="Times New Roman"/>
          <w:b/>
          <w:bCs/>
          <w:kern w:val="2"/>
          <w:sz w:val="36"/>
          <w:szCs w:val="44"/>
          <w:lang w:val="en-US" w:eastAsia="zh-CN" w:bidi="ar-SA"/>
        </w:rPr>
        <w:id w:val="147453990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color w:val="ED7D31" w:themeColor="accent2"/>
              <w:sz w:val="36"/>
              <w:szCs w:val="44"/>
              <w14:textFill>
                <w14:solidFill>
                  <w14:schemeClr w14:val="accent2"/>
                </w14:solidFill>
              </w14:textFill>
            </w:rPr>
            <w:t>目录</w:t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"1-1"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_Toc6600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1 登录认证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_Toc6600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_Toc28865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2 首页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_Toc28865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_Toc1119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 xml:space="preserve">3 </w:t>
          </w:r>
          <w:r>
            <w:rPr>
              <w:sz w:val="32"/>
              <w:szCs w:val="32"/>
            </w:rPr>
            <w:t>商品页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_Toc1119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_Toc8857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4 我的购物车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_Toc8857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_Toc5275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5 订单确认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_Toc5275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_Toc4275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6 我的订单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_Toc4275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_Toc15742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7 自购备案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_Toc15742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12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_Toc19861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8 我的收藏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_Toc19861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13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_Toc11480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sz w:val="32"/>
              <w:szCs w:val="32"/>
            </w:rPr>
            <w:t>9 退货管理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_Toc11480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14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rPr>
              <w:sz w:val="44"/>
              <w:szCs w:val="44"/>
            </w:rPr>
          </w:pPr>
          <w:r>
            <w:rPr>
              <w:sz w:val="44"/>
              <w:szCs w:val="44"/>
            </w:rPr>
            <w:fldChar w:fldCharType="end"/>
          </w:r>
        </w:p>
        <w:p>
          <w:pPr>
            <w:rPr>
              <w:rFonts w:ascii="Calibri" w:hAnsi="Calibri" w:eastAsia="宋体" w:cs="Times New Roman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ascii="Calibri" w:hAnsi="Calibri" w:eastAsia="宋体" w:cs="Times New Roman"/>
              <w:kern w:val="2"/>
              <w:sz w:val="24"/>
              <w:szCs w:val="24"/>
              <w:lang w:val="en-US" w:eastAsia="zh-CN" w:bidi="ar-SA"/>
            </w:rPr>
            <w:br w:type="page"/>
          </w:r>
        </w:p>
        <w:p/>
      </w:sdtContent>
    </w:sdt>
    <w:p>
      <w:pPr>
        <w:pStyle w:val="4"/>
      </w:pPr>
      <w:bookmarkStart w:id="2" w:name="_Toc6600"/>
      <w:r>
        <w:rPr>
          <w:rFonts w:hint="eastAsia"/>
        </w:rPr>
        <w:t>登录认证</w:t>
      </w:r>
      <w:bookmarkEnd w:id="0"/>
      <w:bookmarkEnd w:id="1"/>
      <w:bookmarkEnd w:id="2"/>
    </w:p>
    <w:p>
      <w:pPr>
        <w:ind w:firstLine="480"/>
      </w:pPr>
      <w:r>
        <w:rPr>
          <w:rFonts w:hint="eastAsia"/>
        </w:rPr>
        <w:t>电脑</w:t>
      </w:r>
      <w:r>
        <w:t>端：</w:t>
      </w:r>
      <w:r>
        <w:rPr>
          <w:rFonts w:hint="eastAsia"/>
        </w:rPr>
        <w:t>输入https://labsafe.hpu.edu.cn/，点击登录跳转到登录页。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67940"/>
            <wp:effectExtent l="0" t="0" r="1016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</w:rPr>
      </w:pPr>
      <w:r>
        <w:rPr>
          <w:rFonts w:hint="eastAsia"/>
        </w:rPr>
        <w:t>可切换登录方式为“统一身份认证”进行登录；可选择普通登录，输入账号密码进行登录。</w:t>
      </w:r>
      <w:bookmarkStart w:id="11" w:name="_GoBack"/>
      <w:bookmarkEnd w:id="11"/>
    </w:p>
    <w:p>
      <w:pPr>
        <w:pStyle w:val="4"/>
      </w:pPr>
      <w:bookmarkStart w:id="3" w:name="_Toc28865"/>
      <w:r>
        <w:rPr>
          <w:rFonts w:hint="eastAsia"/>
        </w:rPr>
        <w:t>首页</w:t>
      </w:r>
      <w:bookmarkEnd w:id="3"/>
    </w:p>
    <w:p>
      <w:pPr>
        <w:pStyle w:val="2"/>
        <w:ind w:left="0" w:leftChars="0" w:firstLine="480"/>
      </w:pPr>
      <w:r>
        <w:rPr>
          <w:rFonts w:hint="eastAsia"/>
        </w:rPr>
        <w:t>登录成功后进入试剂耗材采购商城首页；</w:t>
      </w:r>
    </w:p>
    <w:p>
      <w:pPr>
        <w:pStyle w:val="2"/>
        <w:ind w:left="0" w:leftChars="0" w:firstLine="480"/>
      </w:pPr>
      <w:r>
        <w:rPr>
          <w:rFonts w:hint="eastAsia"/>
        </w:rPr>
        <w:t>在首页可以查看到用户的消息，包括购物车中的商品数量、待发货订单数量、待收货订单数量、待结算订单数量等信息；可以查看商品类别信息，选择商品类别跳转到商品列表；</w:t>
      </w:r>
      <w:r>
        <w:t xml:space="preserve"> </w:t>
      </w:r>
    </w:p>
    <w:p>
      <w:pPr>
        <w:pStyle w:val="2"/>
        <w:ind w:left="0" w:leftChars="0" w:firstLine="480"/>
      </w:pPr>
      <w:r>
        <w:rPr>
          <w:rFonts w:hint="eastAsia"/>
        </w:rPr>
        <w:t>输入商品名称、供应商、CA</w:t>
      </w:r>
      <w:r>
        <w:t>S</w:t>
      </w:r>
      <w:r>
        <w:rPr>
          <w:rFonts w:hint="eastAsia"/>
        </w:rPr>
        <w:t>号可检索相关信息；</w:t>
      </w:r>
    </w:p>
    <w:p>
      <w:pPr>
        <w:pStyle w:val="2"/>
        <w:ind w:left="0" w:leftChars="0" w:firstLine="480"/>
      </w:pPr>
      <w:r>
        <w:rPr>
          <w:rFonts w:hint="eastAsia"/>
        </w:rPr>
        <w:t>热销专区。可查看到销售量较高的商品，点击“加入购物车”可将商品加入购物车；点击“更多”可查看按销量排行的商品信息列表。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供应商专区。点击供应商可跳转到供应商的所有商品页；点击“更多”可查看供应商列表。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551053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45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111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点击商品可进入商品详情页，可查看商品的详细信息，以及供应商信息；点击“立即购买”跳转到订单页面；点击“加入购物车”将商品加入购物车。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4744720"/>
            <wp:effectExtent l="19050" t="19050" r="21590" b="177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rcRect b="76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49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点击“供应商全部宝贝”跳转到供应商售卖的所有商品列表页，可查看该供应商的所有商品信息；可将供应商收藏。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3738880"/>
            <wp:effectExtent l="19050" t="19050" r="21590" b="139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4" w:name="_Toc1119"/>
      <w:r>
        <w:t>商品页</w:t>
      </w:r>
      <w:bookmarkEnd w:id="4"/>
    </w:p>
    <w:p>
      <w:pPr>
        <w:pStyle w:val="2"/>
        <w:ind w:left="0" w:leftChars="0" w:firstLine="480"/>
      </w:pPr>
      <w:r>
        <w:rPr>
          <w:rFonts w:hint="eastAsia"/>
        </w:rPr>
        <w:t>在商品页顶部可输入商品名称、供应商、C</w:t>
      </w:r>
      <w:r>
        <w:t>AS号进行全局搜索；</w:t>
      </w:r>
    </w:p>
    <w:p>
      <w:pPr>
        <w:pStyle w:val="2"/>
        <w:ind w:left="0" w:leftChars="0" w:firstLine="480"/>
      </w:pPr>
      <w:r>
        <w:t>可通过多种条件组合筛选商品，包括类别、商品性质和货期；</w:t>
      </w:r>
    </w:p>
    <w:p>
      <w:pPr>
        <w:pStyle w:val="2"/>
        <w:ind w:left="0" w:leftChars="0" w:firstLine="480"/>
      </w:pPr>
      <w:r>
        <w:rPr>
          <w:rFonts w:hint="eastAsia"/>
        </w:rPr>
        <w:t>有多种商品排序方式，如综合、销量、价格等；输入价格区间可搜索区间内的商品；</w:t>
      </w:r>
    </w:p>
    <w:p>
      <w:pPr>
        <w:pStyle w:val="2"/>
        <w:ind w:left="0" w:leftChars="0" w:firstLine="480"/>
      </w:pPr>
      <w:r>
        <w:rPr>
          <w:rFonts w:hint="eastAsia"/>
        </w:rPr>
        <w:t>可选择列表或网格展示商品；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对于想要进行采购的商品，可增减商品数量，并进行加入购物车操作。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3456940"/>
            <wp:effectExtent l="19050" t="19050" r="215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9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5" w:name="_Toc8857"/>
      <w:r>
        <w:rPr>
          <w:rFonts w:hint="eastAsia"/>
        </w:rPr>
        <w:t>我的购物车</w:t>
      </w:r>
      <w:bookmarkEnd w:id="5"/>
    </w:p>
    <w:p>
      <w:pPr>
        <w:pStyle w:val="2"/>
        <w:ind w:left="0" w:leftChars="0" w:firstLine="480"/>
      </w:pPr>
      <w:r>
        <w:rPr>
          <w:rFonts w:hint="eastAsia"/>
        </w:rPr>
        <w:t>对于购物车中的商品，可以增减商品数量，可以将商品添加到收藏夹，或将其从购物车中删除；可选择多个商品进行“批量删除”操作；可选择多个商品进行“结算”操作。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4855845"/>
            <wp:effectExtent l="19050" t="19050" r="21590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rcRect b="58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6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5275"/>
      <w:r>
        <w:rPr>
          <w:rFonts w:hint="eastAsia"/>
        </w:rPr>
        <w:t>订单确认</w:t>
      </w:r>
      <w:bookmarkEnd w:id="6"/>
    </w:p>
    <w:p>
      <w:pPr>
        <w:pStyle w:val="2"/>
        <w:ind w:left="0" w:leftChars="0" w:firstLine="480"/>
      </w:pPr>
      <w:r>
        <w:rPr>
          <w:rFonts w:hint="eastAsia"/>
        </w:rPr>
        <w:t>默认显示用户设置的收货信息和默认经费卡信息；可修改收货信息和经费卡信息；</w:t>
      </w:r>
      <w:r>
        <w:t xml:space="preserve"> </w:t>
      </w:r>
    </w:p>
    <w:p>
      <w:pPr>
        <w:pStyle w:val="2"/>
        <w:ind w:left="0" w:leftChars="0" w:firstLine="480"/>
      </w:pPr>
      <w:r>
        <w:rPr>
          <w:rFonts w:hint="eastAsia"/>
        </w:rPr>
        <w:t>点击“返回购物车修改”将返回购物车页面修改商品再次进行结算；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用户确认收货信息、经费卡信息、商品信息后，点击“提交订单”生成订单。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3675" cy="5288280"/>
            <wp:effectExtent l="19050" t="19050" r="22225" b="266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b="65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87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点击“管理收货信息”跳转页面对收货信息进行管理；在空表单中填写收货信息，点击保存则新增成功；对于已添加的收货信息，可进行编辑、删除、设为默认等操作。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3564255"/>
            <wp:effectExtent l="19050" t="19050" r="215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点击“管理经费卡信息”跳转页面对经费卡信息进行管理；在空表单中填写经费卡信息，点击保存则新增成功；对于已添加的经费卡信息，可进行编辑、删除、设为默认等操作。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3404235"/>
            <wp:effectExtent l="19050" t="19050" r="21590" b="247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4275"/>
      <w:r>
        <w:rPr>
          <w:rFonts w:hint="eastAsia"/>
        </w:rPr>
        <w:t>我的订单</w:t>
      </w:r>
      <w:bookmarkEnd w:id="7"/>
    </w:p>
    <w:p>
      <w:pPr>
        <w:pStyle w:val="2"/>
        <w:ind w:left="0" w:leftChars="0" w:firstLine="480"/>
      </w:pPr>
      <w:r>
        <w:rPr>
          <w:rFonts w:hint="eastAsia"/>
        </w:rPr>
        <w:t>可根据订单号、商品名称、供应商等信息检索订单；</w:t>
      </w:r>
    </w:p>
    <w:p>
      <w:pPr>
        <w:pStyle w:val="2"/>
        <w:ind w:left="0" w:leftChars="0" w:firstLine="480"/>
      </w:pPr>
      <w:r>
        <w:rPr>
          <w:rFonts w:hint="eastAsia"/>
        </w:rPr>
        <w:t>切换tab标签可查看不同状态下的订单；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点击“上一页”、“下一页”可换页浏览订单信息。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3458845"/>
            <wp:effectExtent l="19050" t="19050" r="21590" b="27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对于审核中的订单，可点击“查看详情”进入详情页。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2556510"/>
            <wp:effectExtent l="19050" t="19050" r="2159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订单详情页可查看订单进度、订单信息、商品信息等；点击“返回我的订单”跳转到我的订单页；在供应商未发货前，采购者均可取消订单；点击“取消订单”则订单取消。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4256405"/>
            <wp:effectExtent l="19050" t="19050" r="215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rcRect b="44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6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对于待发货订单，点击“查看详情”进入订单详情页，可查看订单进度、订单信息、商品信息等；点击“取消订单”取消已提交但还未发货的订单；</w:t>
      </w:r>
      <w:r>
        <w:t xml:space="preserve"> </w:t>
      </w:r>
    </w:p>
    <w:p>
      <w:pPr>
        <w:pStyle w:val="2"/>
        <w:ind w:left="0" w:leftChars="0" w:firstLine="480"/>
      </w:pPr>
      <w:r>
        <w:rPr>
          <w:rFonts w:hint="eastAsia"/>
        </w:rPr>
        <w:t>对于待收货订单，点击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对于待结算订单，点击“查看详情”进入订单详情页，可查看订单进度、订单信息、商品信息等；</w:t>
      </w:r>
    </w:p>
    <w:p>
      <w:pPr>
        <w:pStyle w:val="2"/>
        <w:ind w:left="0" w:leftChars="0" w:firstLine="480"/>
      </w:pPr>
      <w:r>
        <w:rPr>
          <w:rFonts w:hint="eastAsia"/>
        </w:rPr>
        <w:t>对于已完成订单，选择订单可进行“批量删除订单”和“批量打印订单”操作；点击“查看详情”进入订单详情页；点击“删除订单”删除单个订单。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2602230"/>
            <wp:effectExtent l="19050" t="19050" r="21590" b="266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点击“批量打印订单”后，可查看到订单信息以及审核流程；可对该结算单进行打印操作。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13985" cy="2865755"/>
            <wp:effectExtent l="19050" t="19050" r="2476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rcRect l="351" t="2726" r="770"/>
                    <a:stretch>
                      <a:fillRect/>
                    </a:stretch>
                  </pic:blipFill>
                  <pic:spPr>
                    <a:xfrm>
                      <a:off x="0" y="0"/>
                      <a:ext cx="5215145" cy="28667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15742"/>
      <w:r>
        <w:rPr>
          <w:rFonts w:hint="eastAsia"/>
        </w:rPr>
        <w:t>自购备案</w:t>
      </w:r>
      <w:bookmarkEnd w:id="8"/>
    </w:p>
    <w:p>
      <w:pPr>
        <w:ind w:firstLine="480"/>
        <w:rPr>
          <w:rFonts w:hint="eastAsia"/>
        </w:rPr>
      </w:pPr>
      <w:r>
        <w:rPr>
          <w:rFonts w:hint="eastAsia"/>
        </w:rPr>
        <w:t>可以根据自购单编号、供应商名称、购置时间段、自购单创建时间段等信息查询自购单；点击“批量删除自购单”可删除多个自购单；点击“新建”可新建自购单进行备案；可对单个自购单进行“查看详情”、“删除自购单”操作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2453005"/>
            <wp:effectExtent l="19050" t="19050" r="21590" b="234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点击“查看详情”查看自购单详情，包括审核进度、自购单明细、商品信息。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3888740"/>
            <wp:effectExtent l="19050" t="19050" r="2159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9861"/>
      <w:r>
        <w:rPr>
          <w:rFonts w:hint="eastAsia"/>
        </w:rPr>
        <w:t>我的收藏</w:t>
      </w:r>
      <w:bookmarkEnd w:id="9"/>
    </w:p>
    <w:p>
      <w:pPr>
        <w:ind w:firstLine="480"/>
      </w:pPr>
      <w:r>
        <w:rPr>
          <w:rFonts w:hint="eastAsia"/>
        </w:rPr>
        <w:t>点击“批量加入购物车”可将多个商品加入购物车；点击“批量删除”可将多个商品从收藏夹删除；</w:t>
      </w:r>
    </w:p>
    <w:p>
      <w:pPr>
        <w:ind w:firstLine="480"/>
      </w:pPr>
      <w:r>
        <w:rPr>
          <w:rFonts w:hint="eastAsia"/>
        </w:rPr>
        <w:t>输入商品名称可搜索收藏夹中的商品信息；</w:t>
      </w:r>
    </w:p>
    <w:p>
      <w:pPr>
        <w:ind w:firstLine="480"/>
        <w:rPr>
          <w:rFonts w:hint="eastAsia"/>
        </w:rPr>
      </w:pPr>
      <w:r>
        <w:rPr>
          <w:rFonts w:hint="eastAsia"/>
        </w:rPr>
        <w:t>可对单个商品进行“加入购物车”、“删除”操作。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3602990"/>
            <wp:effectExtent l="19050" t="19050" r="2159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切换上方的选项卡，可以查看收藏的供应商信息；可对收藏的供应商信息进行“批量删除”操作；输入供应商名称可以检索供应商信息。</w:t>
      </w:r>
    </w:p>
    <w:p>
      <w:pPr>
        <w:pStyle w:val="2"/>
        <w:ind w:left="0" w:leftChars="0" w:firstLine="0" w:firstLineChars="0"/>
        <w:rPr>
          <w:rFonts w:hint="eastAsia"/>
          <w:b/>
        </w:rPr>
      </w:pPr>
      <w:r>
        <w:drawing>
          <wp:inline distT="0" distB="0" distL="0" distR="0">
            <wp:extent cx="5274310" cy="1786255"/>
            <wp:effectExtent l="19050" t="19050" r="21590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11480"/>
      <w:r>
        <w:rPr>
          <w:rFonts w:hint="eastAsia"/>
        </w:rPr>
        <w:t>退货管理</w:t>
      </w:r>
      <w:bookmarkEnd w:id="10"/>
    </w:p>
    <w:p>
      <w:pPr>
        <w:pStyle w:val="2"/>
        <w:ind w:left="0" w:leftChars="0" w:firstLine="480"/>
      </w:pPr>
      <w:r>
        <w:rPr>
          <w:rFonts w:hint="eastAsia"/>
        </w:rPr>
        <w:t>可根据退货原因、订单号、退货时间段等检索查询退货申请信息；</w:t>
      </w:r>
    </w:p>
    <w:p>
      <w:pPr>
        <w:pStyle w:val="2"/>
        <w:ind w:left="0" w:leftChars="0" w:firstLine="480"/>
      </w:pPr>
      <w:r>
        <w:rPr>
          <w:rFonts w:hint="eastAsia"/>
        </w:rPr>
        <w:t>切换tab标签查看不同状态下的退货申请；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点击“上一页”、“下一页”可换页查看退货申请信息。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3100070"/>
            <wp:effectExtent l="19050" t="19050" r="21590" b="241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对于待处理退货申请，可以在供应商处理前点击“批量取消退货”取消退货申请；对单个退货申请订单，可进行“查看详情”、“取消退货”操作。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一个订单可进行最多两次退货申请，有以下两种情况：第一次退货申请后进行了“取消退货”操作，可在已取消申请中再次对该订单进行“退货申请”操作；第一次退货申请被供应商拒绝后，可再一次进行“退货申请”操作。</w:t>
      </w:r>
    </w:p>
    <w:p>
      <w:pPr>
        <w:pStyle w:val="2"/>
        <w:ind w:left="0" w:leftChars="0" w:firstLine="0" w:firstLineChars="0"/>
      </w:pPr>
      <w:r>
        <w:drawing>
          <wp:inline distT="0" distB="0" distL="0" distR="0">
            <wp:extent cx="5274310" cy="2936875"/>
            <wp:effectExtent l="19050" t="19050" r="2159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点击“查看详情”可查看退货申请详情，包括退货进度、订单明细、商品信息等。</w:t>
      </w:r>
    </w:p>
    <w:p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3573145"/>
            <wp:effectExtent l="19050" t="19050" r="21590" b="273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1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AC6D66"/>
    <w:multiLevelType w:val="multilevel"/>
    <w:tmpl w:val="64AC6D66"/>
    <w:lvl w:ilvl="0" w:tentative="0">
      <w:start w:val="1"/>
      <w:numFmt w:val="decimal"/>
      <w:pStyle w:val="4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F"/>
    <w:rsid w:val="000005DC"/>
    <w:rsid w:val="00001EDC"/>
    <w:rsid w:val="00006D5D"/>
    <w:rsid w:val="00025361"/>
    <w:rsid w:val="000354BA"/>
    <w:rsid w:val="00064F05"/>
    <w:rsid w:val="00065328"/>
    <w:rsid w:val="000666DA"/>
    <w:rsid w:val="000676DF"/>
    <w:rsid w:val="000857DC"/>
    <w:rsid w:val="000D6955"/>
    <w:rsid w:val="000E059B"/>
    <w:rsid w:val="000E47E3"/>
    <w:rsid w:val="000E7F55"/>
    <w:rsid w:val="00113906"/>
    <w:rsid w:val="0012049A"/>
    <w:rsid w:val="0013612A"/>
    <w:rsid w:val="00137102"/>
    <w:rsid w:val="001468CB"/>
    <w:rsid w:val="00157A92"/>
    <w:rsid w:val="001B2BC8"/>
    <w:rsid w:val="001C1EA7"/>
    <w:rsid w:val="001C7D16"/>
    <w:rsid w:val="001D4931"/>
    <w:rsid w:val="001E2184"/>
    <w:rsid w:val="00213576"/>
    <w:rsid w:val="002148BF"/>
    <w:rsid w:val="00220384"/>
    <w:rsid w:val="002213DC"/>
    <w:rsid w:val="00237A35"/>
    <w:rsid w:val="00243186"/>
    <w:rsid w:val="002447DF"/>
    <w:rsid w:val="00287219"/>
    <w:rsid w:val="002A30AC"/>
    <w:rsid w:val="002A4F7E"/>
    <w:rsid w:val="002B1E46"/>
    <w:rsid w:val="002C40AB"/>
    <w:rsid w:val="002D3022"/>
    <w:rsid w:val="002F22A2"/>
    <w:rsid w:val="00317EB3"/>
    <w:rsid w:val="00342F3A"/>
    <w:rsid w:val="0037583A"/>
    <w:rsid w:val="00393885"/>
    <w:rsid w:val="00397B0D"/>
    <w:rsid w:val="003A52E1"/>
    <w:rsid w:val="003B4397"/>
    <w:rsid w:val="003C1FB9"/>
    <w:rsid w:val="003D11E3"/>
    <w:rsid w:val="003E0188"/>
    <w:rsid w:val="003F2EA4"/>
    <w:rsid w:val="00430559"/>
    <w:rsid w:val="00460EFC"/>
    <w:rsid w:val="00461230"/>
    <w:rsid w:val="00464247"/>
    <w:rsid w:val="004661D8"/>
    <w:rsid w:val="004668B8"/>
    <w:rsid w:val="004702B8"/>
    <w:rsid w:val="0047146E"/>
    <w:rsid w:val="00473090"/>
    <w:rsid w:val="00483FC6"/>
    <w:rsid w:val="004C7CEA"/>
    <w:rsid w:val="0051203F"/>
    <w:rsid w:val="00541FC9"/>
    <w:rsid w:val="005443F4"/>
    <w:rsid w:val="00557808"/>
    <w:rsid w:val="00575D05"/>
    <w:rsid w:val="00576408"/>
    <w:rsid w:val="00577F7A"/>
    <w:rsid w:val="005966A5"/>
    <w:rsid w:val="005B56B2"/>
    <w:rsid w:val="005C3ECD"/>
    <w:rsid w:val="005E38A5"/>
    <w:rsid w:val="005F3882"/>
    <w:rsid w:val="0061422E"/>
    <w:rsid w:val="006263F7"/>
    <w:rsid w:val="006306CD"/>
    <w:rsid w:val="00641AF5"/>
    <w:rsid w:val="00651258"/>
    <w:rsid w:val="006548C6"/>
    <w:rsid w:val="006753D8"/>
    <w:rsid w:val="00686AE8"/>
    <w:rsid w:val="00692A1D"/>
    <w:rsid w:val="006970DC"/>
    <w:rsid w:val="006A6089"/>
    <w:rsid w:val="006B3BD1"/>
    <w:rsid w:val="006B49C0"/>
    <w:rsid w:val="006D142A"/>
    <w:rsid w:val="006F03C6"/>
    <w:rsid w:val="00704AEF"/>
    <w:rsid w:val="0070720C"/>
    <w:rsid w:val="007249E3"/>
    <w:rsid w:val="0073227B"/>
    <w:rsid w:val="007327C7"/>
    <w:rsid w:val="007454CE"/>
    <w:rsid w:val="00746171"/>
    <w:rsid w:val="00763E3E"/>
    <w:rsid w:val="00786DFA"/>
    <w:rsid w:val="007921F9"/>
    <w:rsid w:val="007A5558"/>
    <w:rsid w:val="007A64F9"/>
    <w:rsid w:val="007B5BC1"/>
    <w:rsid w:val="007D198B"/>
    <w:rsid w:val="007D2668"/>
    <w:rsid w:val="007D6355"/>
    <w:rsid w:val="007E64B0"/>
    <w:rsid w:val="00804695"/>
    <w:rsid w:val="0080525A"/>
    <w:rsid w:val="008062A9"/>
    <w:rsid w:val="00807E0F"/>
    <w:rsid w:val="008202FD"/>
    <w:rsid w:val="0083095D"/>
    <w:rsid w:val="00834914"/>
    <w:rsid w:val="00844EC9"/>
    <w:rsid w:val="008540CE"/>
    <w:rsid w:val="00863F11"/>
    <w:rsid w:val="00867DE5"/>
    <w:rsid w:val="00894237"/>
    <w:rsid w:val="008A35BC"/>
    <w:rsid w:val="008A3B84"/>
    <w:rsid w:val="008A6ADB"/>
    <w:rsid w:val="008B1130"/>
    <w:rsid w:val="008B1483"/>
    <w:rsid w:val="008C1780"/>
    <w:rsid w:val="008D5D5B"/>
    <w:rsid w:val="008D6A82"/>
    <w:rsid w:val="008E0568"/>
    <w:rsid w:val="008F3B0D"/>
    <w:rsid w:val="008F49AA"/>
    <w:rsid w:val="008F64D0"/>
    <w:rsid w:val="008F7861"/>
    <w:rsid w:val="00901A5B"/>
    <w:rsid w:val="00905BCD"/>
    <w:rsid w:val="00907AA3"/>
    <w:rsid w:val="009135F1"/>
    <w:rsid w:val="00933588"/>
    <w:rsid w:val="0093751C"/>
    <w:rsid w:val="009461C9"/>
    <w:rsid w:val="0096399C"/>
    <w:rsid w:val="009673B4"/>
    <w:rsid w:val="00983745"/>
    <w:rsid w:val="009B0FF2"/>
    <w:rsid w:val="009C71EE"/>
    <w:rsid w:val="009E6998"/>
    <w:rsid w:val="009E7E68"/>
    <w:rsid w:val="009F35D8"/>
    <w:rsid w:val="00A03274"/>
    <w:rsid w:val="00A0731F"/>
    <w:rsid w:val="00A2134A"/>
    <w:rsid w:val="00A345BB"/>
    <w:rsid w:val="00A53C3A"/>
    <w:rsid w:val="00A571F3"/>
    <w:rsid w:val="00A57613"/>
    <w:rsid w:val="00A62018"/>
    <w:rsid w:val="00A738A6"/>
    <w:rsid w:val="00A86C17"/>
    <w:rsid w:val="00AA47FF"/>
    <w:rsid w:val="00AB65D2"/>
    <w:rsid w:val="00AC1CE7"/>
    <w:rsid w:val="00AC4D24"/>
    <w:rsid w:val="00AE530D"/>
    <w:rsid w:val="00B2034B"/>
    <w:rsid w:val="00B257B3"/>
    <w:rsid w:val="00B267C9"/>
    <w:rsid w:val="00B50F1A"/>
    <w:rsid w:val="00B54A81"/>
    <w:rsid w:val="00B555E3"/>
    <w:rsid w:val="00B5730C"/>
    <w:rsid w:val="00B764E3"/>
    <w:rsid w:val="00B77D9B"/>
    <w:rsid w:val="00BA2F1B"/>
    <w:rsid w:val="00BB33F9"/>
    <w:rsid w:val="00BC1D7A"/>
    <w:rsid w:val="00BD3D8E"/>
    <w:rsid w:val="00BE1F57"/>
    <w:rsid w:val="00BE69E1"/>
    <w:rsid w:val="00BF2C93"/>
    <w:rsid w:val="00C04BFB"/>
    <w:rsid w:val="00C06405"/>
    <w:rsid w:val="00C20427"/>
    <w:rsid w:val="00C30E76"/>
    <w:rsid w:val="00C353DD"/>
    <w:rsid w:val="00C37DD2"/>
    <w:rsid w:val="00C4043D"/>
    <w:rsid w:val="00C45446"/>
    <w:rsid w:val="00C503B7"/>
    <w:rsid w:val="00C76304"/>
    <w:rsid w:val="00C76ABA"/>
    <w:rsid w:val="00C85AD1"/>
    <w:rsid w:val="00C92D7D"/>
    <w:rsid w:val="00CA4087"/>
    <w:rsid w:val="00CB5ABD"/>
    <w:rsid w:val="00CC34B4"/>
    <w:rsid w:val="00CC79AF"/>
    <w:rsid w:val="00CF0FD3"/>
    <w:rsid w:val="00D0777A"/>
    <w:rsid w:val="00D12F55"/>
    <w:rsid w:val="00D3184E"/>
    <w:rsid w:val="00D42EF9"/>
    <w:rsid w:val="00D6264C"/>
    <w:rsid w:val="00D63E54"/>
    <w:rsid w:val="00D67653"/>
    <w:rsid w:val="00D77782"/>
    <w:rsid w:val="00D8779B"/>
    <w:rsid w:val="00D97D50"/>
    <w:rsid w:val="00DB23C3"/>
    <w:rsid w:val="00DC13FF"/>
    <w:rsid w:val="00DE5C5D"/>
    <w:rsid w:val="00DF41DF"/>
    <w:rsid w:val="00DF7AE6"/>
    <w:rsid w:val="00E043A7"/>
    <w:rsid w:val="00E04FB5"/>
    <w:rsid w:val="00E23033"/>
    <w:rsid w:val="00E23B86"/>
    <w:rsid w:val="00E27F7B"/>
    <w:rsid w:val="00E518F2"/>
    <w:rsid w:val="00E71130"/>
    <w:rsid w:val="00E855CD"/>
    <w:rsid w:val="00E85A77"/>
    <w:rsid w:val="00E91FAF"/>
    <w:rsid w:val="00E93E9A"/>
    <w:rsid w:val="00EA3931"/>
    <w:rsid w:val="00EA4B9D"/>
    <w:rsid w:val="00EB1BBD"/>
    <w:rsid w:val="00EC48C4"/>
    <w:rsid w:val="00EF097F"/>
    <w:rsid w:val="00EF37A3"/>
    <w:rsid w:val="00F34DF9"/>
    <w:rsid w:val="00F36787"/>
    <w:rsid w:val="00F5081A"/>
    <w:rsid w:val="00F67123"/>
    <w:rsid w:val="00F81ED5"/>
    <w:rsid w:val="00F85C5C"/>
    <w:rsid w:val="00F9007D"/>
    <w:rsid w:val="00F977BF"/>
    <w:rsid w:val="00FA3DBA"/>
    <w:rsid w:val="00FB68CF"/>
    <w:rsid w:val="00FC4E79"/>
    <w:rsid w:val="00FC77EC"/>
    <w:rsid w:val="00FD10A3"/>
    <w:rsid w:val="00FE32DC"/>
    <w:rsid w:val="1A564E09"/>
    <w:rsid w:val="2BAF2EA4"/>
    <w:rsid w:val="2C1A5782"/>
    <w:rsid w:val="4589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15"/>
    <w:qFormat/>
    <w:uiPriority w:val="9"/>
    <w:pPr>
      <w:numPr>
        <w:ilvl w:val="0"/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5">
    <w:name w:val="heading 2"/>
    <w:basedOn w:val="1"/>
    <w:next w:val="1"/>
    <w:link w:val="16"/>
    <w:unhideWhenUsed/>
    <w:qFormat/>
    <w:uiPriority w:val="9"/>
    <w:pPr>
      <w:numPr>
        <w:ilvl w:val="1"/>
        <w:numId w:val="1"/>
      </w:numPr>
      <w:ind w:firstLineChars="0"/>
      <w:outlineLvl w:val="1"/>
    </w:pPr>
    <w:rPr>
      <w:rFonts w:ascii="宋体" w:hAnsi="宋体" w:eastAsiaTheme="minorEastAsia" w:cstheme="minorBidi"/>
      <w:b/>
      <w:smallCaps/>
      <w:sz w:val="28"/>
    </w:rPr>
  </w:style>
  <w:style w:type="paragraph" w:styleId="6">
    <w:name w:val="heading 3"/>
    <w:basedOn w:val="1"/>
    <w:next w:val="1"/>
    <w:link w:val="17"/>
    <w:unhideWhenUsed/>
    <w:qFormat/>
    <w:uiPriority w:val="9"/>
    <w:pPr>
      <w:numPr>
        <w:ilvl w:val="2"/>
        <w:numId w:val="1"/>
      </w:numPr>
      <w:snapToGrid w:val="0"/>
      <w:spacing w:before="156" w:beforeLines="50"/>
      <w:ind w:firstLine="0" w:firstLineChars="0"/>
      <w:outlineLvl w:val="2"/>
    </w:pPr>
    <w:rPr>
      <w:rFonts w:ascii="宋体" w:hAnsi="宋体" w:cstheme="minorBidi"/>
      <w:b/>
      <w:iCs/>
      <w:smallCaps/>
      <w:spacing w:val="5"/>
    </w:rPr>
  </w:style>
  <w:style w:type="paragraph" w:styleId="7">
    <w:name w:val="heading 4"/>
    <w:basedOn w:val="1"/>
    <w:next w:val="1"/>
    <w:link w:val="18"/>
    <w:unhideWhenUsed/>
    <w:qFormat/>
    <w:uiPriority w:val="9"/>
    <w:pPr>
      <w:numPr>
        <w:ilvl w:val="3"/>
        <w:numId w:val="1"/>
      </w:numPr>
      <w:ind w:firstLine="0" w:firstLineChars="0"/>
      <w:outlineLvl w:val="3"/>
    </w:pPr>
    <w:rPr>
      <w:rFonts w:asciiTheme="minorHAnsi" w:hAnsiTheme="minorHAnsi" w:eastAsiaTheme="minorEastAsia" w:cstheme="minorBidi"/>
      <w:b/>
      <w:bCs/>
      <w:spacing w:val="5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20"/>
    <w:unhideWhenUsed/>
    <w:uiPriority w:val="99"/>
    <w:pPr>
      <w:ind w:firstLine="420"/>
    </w:pPr>
  </w:style>
  <w:style w:type="paragraph" w:styleId="3">
    <w:name w:val="Body Text Indent"/>
    <w:basedOn w:val="1"/>
    <w:link w:val="19"/>
    <w:semiHidden/>
    <w:unhideWhenUsed/>
    <w:qFormat/>
    <w:uiPriority w:val="99"/>
    <w:pPr>
      <w:spacing w:after="120"/>
      <w:ind w:left="420" w:leftChars="200"/>
    </w:p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9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8"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4"/>
    <w:qFormat/>
    <w:uiPriority w:val="9"/>
    <w:rPr>
      <w:rFonts w:ascii="宋体" w:hAnsi="宋体" w:eastAsia="宋体"/>
      <w:b/>
      <w:smallCaps/>
      <w:spacing w:val="5"/>
      <w:sz w:val="32"/>
      <w:szCs w:val="32"/>
    </w:rPr>
  </w:style>
  <w:style w:type="character" w:customStyle="1" w:styleId="16">
    <w:name w:val="标题 2 字符"/>
    <w:basedOn w:val="11"/>
    <w:link w:val="5"/>
    <w:qFormat/>
    <w:uiPriority w:val="9"/>
    <w:rPr>
      <w:rFonts w:ascii="宋体" w:hAnsi="宋体"/>
      <w:b/>
      <w:smallCaps/>
      <w:sz w:val="28"/>
      <w:szCs w:val="24"/>
    </w:rPr>
  </w:style>
  <w:style w:type="character" w:customStyle="1" w:styleId="17">
    <w:name w:val="标题 3 字符"/>
    <w:basedOn w:val="11"/>
    <w:link w:val="6"/>
    <w:uiPriority w:val="9"/>
    <w:rPr>
      <w:rFonts w:ascii="宋体" w:hAnsi="宋体" w:eastAsia="宋体"/>
      <w:b/>
      <w:iCs/>
      <w:smallCaps/>
      <w:spacing w:val="5"/>
      <w:sz w:val="24"/>
      <w:szCs w:val="24"/>
    </w:rPr>
  </w:style>
  <w:style w:type="character" w:customStyle="1" w:styleId="18">
    <w:name w:val="标题 4 字符"/>
    <w:basedOn w:val="11"/>
    <w:link w:val="7"/>
    <w:uiPriority w:val="9"/>
    <w:rPr>
      <w:b/>
      <w:bCs/>
      <w:spacing w:val="5"/>
      <w:sz w:val="24"/>
      <w:szCs w:val="24"/>
    </w:rPr>
  </w:style>
  <w:style w:type="character" w:customStyle="1" w:styleId="19">
    <w:name w:val="正文文本缩进 字符"/>
    <w:basedOn w:val="11"/>
    <w:link w:val="3"/>
    <w:semiHidden/>
    <w:qFormat/>
    <w:uiPriority w:val="99"/>
    <w:rPr>
      <w:rFonts w:ascii="Calibri" w:hAnsi="Calibri" w:eastAsia="宋体" w:cs="Times New Roman"/>
      <w:sz w:val="24"/>
      <w:szCs w:val="24"/>
    </w:rPr>
  </w:style>
  <w:style w:type="character" w:customStyle="1" w:styleId="20">
    <w:name w:val="正文首行缩进 2 字符"/>
    <w:basedOn w:val="19"/>
    <w:link w:val="2"/>
    <w:qFormat/>
    <w:uiPriority w:val="99"/>
    <w:rPr>
      <w:rFonts w:ascii="Calibri" w:hAnsi="Calibri" w:eastAsia="宋体" w:cs="Times New Roman"/>
      <w:sz w:val="24"/>
      <w:szCs w:val="24"/>
    </w:rPr>
  </w:style>
  <w:style w:type="paragraph" w:customStyle="1" w:styleId="21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303</Words>
  <Characters>1730</Characters>
  <Lines>14</Lines>
  <Paragraphs>4</Paragraphs>
  <TotalTime>18</TotalTime>
  <ScaleCrop>false</ScaleCrop>
  <LinksUpToDate>false</LinksUpToDate>
  <CharactersWithSpaces>2029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2020-06-10T02:39:00Z</dcterms:created>
  <dc:creator>chingo</dc:creator>
  <cp:lastModifiedBy>小钻风</cp:lastModifiedBy>
  <dcterms:modified xsi:type="dcterms:W3CDTF">2022-03-04T00:49:25Z</dcterms:modified>
  <cp:revision>256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C12EF206331A47EEAE87EC34A726F399</vt:lpwstr>
  </property>
</Properties>
</file>