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5B" w:rsidRDefault="00973D5B" w:rsidP="00973D5B">
      <w:pPr>
        <w:pStyle w:val="a3"/>
        <w:widowControl w:val="0"/>
        <w:adjustRightInd w:val="0"/>
        <w:snapToGrid w:val="0"/>
        <w:spacing w:after="0"/>
        <w:jc w:val="both"/>
        <w:rPr>
          <w:rFonts w:ascii="黑体" w:eastAsia="黑体" w:hAnsi="黑体" w:cs="Times New Roman"/>
          <w:color w:val="auto"/>
          <w:kern w:val="2"/>
          <w:sz w:val="32"/>
          <w:szCs w:val="32"/>
        </w:rPr>
      </w:pPr>
    </w:p>
    <w:p w:rsidR="00973D5B" w:rsidRDefault="00973D5B" w:rsidP="00973D5B">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rsidR="00973D5B" w:rsidRDefault="00973D5B" w:rsidP="00973D5B">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2542"/>
        <w:gridCol w:w="1811"/>
        <w:gridCol w:w="3390"/>
      </w:tblGrid>
      <w:tr w:rsidR="009937C3" w:rsidTr="009937C3">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173" w:type="pct"/>
            <w:gridSpan w:val="3"/>
            <w:vAlign w:val="center"/>
          </w:tcPr>
          <w:p w:rsidR="009937C3" w:rsidRDefault="009937C3" w:rsidP="009937C3">
            <w:pPr>
              <w:spacing w:before="100" w:beforeAutospacing="1" w:after="100" w:afterAutospacing="1"/>
              <w:rPr>
                <w:rFonts w:ascii="仿宋_GB2312" w:eastAsia="仿宋_GB2312" w:hAnsi="宋体"/>
                <w:sz w:val="24"/>
                <w:szCs w:val="24"/>
              </w:rPr>
            </w:pPr>
            <w:r w:rsidRPr="00D63D62">
              <w:rPr>
                <w:rFonts w:ascii="仿宋_GB2312" w:eastAsia="仿宋_GB2312" w:hAnsi="宋体" w:hint="eastAsia"/>
                <w:sz w:val="24"/>
                <w:szCs w:val="24"/>
              </w:rPr>
              <w:t>河南理工大学校园网</w:t>
            </w:r>
            <w:r>
              <w:rPr>
                <w:rFonts w:ascii="仿宋_GB2312" w:eastAsia="仿宋_GB2312" w:hAnsi="宋体" w:hint="eastAsia"/>
                <w:sz w:val="24"/>
                <w:szCs w:val="24"/>
              </w:rPr>
              <w:t>移动</w:t>
            </w:r>
            <w:r w:rsidRPr="00D63D62">
              <w:rPr>
                <w:rFonts w:ascii="仿宋_GB2312" w:eastAsia="仿宋_GB2312" w:hAnsi="宋体" w:hint="eastAsia"/>
                <w:sz w:val="24"/>
                <w:szCs w:val="24"/>
              </w:rPr>
              <w:t>出口带宽采购</w:t>
            </w:r>
          </w:p>
        </w:tc>
      </w:tr>
      <w:tr w:rsidR="009937C3" w:rsidTr="00131E6A">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370" w:type="pct"/>
            <w:vAlign w:val="center"/>
          </w:tcPr>
          <w:p w:rsidR="009937C3" w:rsidRDefault="009937C3" w:rsidP="009937C3">
            <w:pPr>
              <w:adjustRightInd w:val="0"/>
              <w:snapToGrid w:val="0"/>
              <w:rPr>
                <w:rFonts w:ascii="仿宋_GB2312" w:eastAsia="仿宋_GB2312"/>
                <w:sz w:val="24"/>
              </w:rPr>
            </w:pPr>
            <w:r w:rsidRPr="005D03C7">
              <w:rPr>
                <w:rFonts w:ascii="仿宋_GB2312" w:eastAsia="仿宋_GB2312" w:hint="eastAsia"/>
                <w:sz w:val="22"/>
              </w:rPr>
              <w:t>信息化建设与管理中心</w:t>
            </w:r>
          </w:p>
        </w:tc>
        <w:tc>
          <w:tcPr>
            <w:tcW w:w="976"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1827"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 xml:space="preserve">□货物    □工程    </w:t>
            </w:r>
            <w:r>
              <w:rPr>
                <w:rFonts w:ascii="仿宋" w:eastAsia="仿宋" w:hAnsi="仿宋" w:hint="eastAsia"/>
                <w:sz w:val="24"/>
                <w:szCs w:val="24"/>
              </w:rPr>
              <w:sym w:font="Wingdings 2" w:char="F052"/>
            </w:r>
            <w:r>
              <w:rPr>
                <w:rFonts w:ascii="仿宋_GB2312" w:eastAsia="仿宋_GB2312" w:hint="eastAsia"/>
                <w:sz w:val="24"/>
              </w:rPr>
              <w:t>服务</w:t>
            </w:r>
          </w:p>
        </w:tc>
      </w:tr>
      <w:tr w:rsidR="009937C3" w:rsidTr="00131E6A">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预（概）算</w:t>
            </w:r>
          </w:p>
        </w:tc>
        <w:tc>
          <w:tcPr>
            <w:tcW w:w="1370" w:type="pct"/>
            <w:vAlign w:val="center"/>
          </w:tcPr>
          <w:p w:rsidR="009937C3" w:rsidRDefault="006625DF" w:rsidP="009937C3">
            <w:pPr>
              <w:adjustRightInd w:val="0"/>
              <w:snapToGrid w:val="0"/>
              <w:jc w:val="left"/>
              <w:rPr>
                <w:rFonts w:ascii="仿宋_GB2312" w:eastAsia="仿宋_GB2312"/>
                <w:sz w:val="24"/>
              </w:rPr>
            </w:pPr>
            <w:r>
              <w:rPr>
                <w:rFonts w:ascii="仿宋_GB2312" w:eastAsia="仿宋_GB2312"/>
                <w:sz w:val="24"/>
              </w:rPr>
              <w:t>39</w:t>
            </w:r>
            <w:r w:rsidR="009937C3">
              <w:rPr>
                <w:rFonts w:ascii="仿宋_GB2312" w:eastAsia="仿宋_GB2312" w:hint="eastAsia"/>
                <w:sz w:val="24"/>
              </w:rPr>
              <w:t>万元</w:t>
            </w:r>
          </w:p>
        </w:tc>
        <w:tc>
          <w:tcPr>
            <w:tcW w:w="976"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最高限价</w:t>
            </w:r>
          </w:p>
        </w:tc>
        <w:tc>
          <w:tcPr>
            <w:tcW w:w="1827" w:type="pct"/>
            <w:vAlign w:val="center"/>
          </w:tcPr>
          <w:p w:rsidR="009937C3" w:rsidRDefault="006625DF" w:rsidP="009937C3">
            <w:pPr>
              <w:adjustRightInd w:val="0"/>
              <w:snapToGrid w:val="0"/>
              <w:jc w:val="left"/>
              <w:rPr>
                <w:rFonts w:ascii="仿宋_GB2312" w:eastAsia="仿宋_GB2312"/>
                <w:sz w:val="24"/>
              </w:rPr>
            </w:pPr>
            <w:r>
              <w:rPr>
                <w:rFonts w:ascii="仿宋_GB2312" w:eastAsia="仿宋_GB2312"/>
                <w:sz w:val="24"/>
              </w:rPr>
              <w:t>39</w:t>
            </w:r>
            <w:r w:rsidR="009937C3">
              <w:rPr>
                <w:rFonts w:ascii="仿宋_GB2312" w:eastAsia="仿宋_GB2312" w:hint="eastAsia"/>
                <w:sz w:val="24"/>
              </w:rPr>
              <w:t>万元</w:t>
            </w:r>
          </w:p>
        </w:tc>
      </w:tr>
      <w:tr w:rsidR="009937C3" w:rsidTr="00131E6A">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质保期</w:t>
            </w:r>
          </w:p>
        </w:tc>
        <w:tc>
          <w:tcPr>
            <w:tcW w:w="1370"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12个月</w:t>
            </w:r>
          </w:p>
        </w:tc>
        <w:tc>
          <w:tcPr>
            <w:tcW w:w="976"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供货期</w:t>
            </w:r>
          </w:p>
        </w:tc>
        <w:tc>
          <w:tcPr>
            <w:tcW w:w="1827"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sz w:val="24"/>
              </w:rPr>
              <w:t>1</w:t>
            </w:r>
            <w:r>
              <w:rPr>
                <w:rFonts w:ascii="仿宋_GB2312" w:eastAsia="仿宋_GB2312" w:hint="eastAsia"/>
                <w:sz w:val="24"/>
              </w:rPr>
              <w:t>个月</w:t>
            </w:r>
          </w:p>
        </w:tc>
      </w:tr>
    </w:tbl>
    <w:p w:rsidR="00973D5B" w:rsidRDefault="00973D5B" w:rsidP="009D4DB3">
      <w:pPr>
        <w:spacing w:line="20" w:lineRule="exact"/>
        <w:rPr>
          <w:rFonts w:ascii="黑体" w:eastAsia="黑体" w:hAnsi="黑体"/>
          <w:sz w:val="28"/>
          <w:szCs w:val="28"/>
        </w:rPr>
      </w:pPr>
    </w:p>
    <w:p w:rsidR="00973D5B" w:rsidRDefault="00973D5B" w:rsidP="00973D5B">
      <w:pPr>
        <w:adjustRightInd w:val="0"/>
        <w:snapToGrid w:val="0"/>
        <w:spacing w:line="348" w:lineRule="auto"/>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3969"/>
        <w:gridCol w:w="559"/>
        <w:gridCol w:w="992"/>
        <w:gridCol w:w="992"/>
        <w:gridCol w:w="1164"/>
      </w:tblGrid>
      <w:tr w:rsidR="00973D5B" w:rsidTr="00C23326">
        <w:trPr>
          <w:cantSplit/>
          <w:trHeight w:val="870"/>
          <w:jc w:val="center"/>
        </w:trPr>
        <w:tc>
          <w:tcPr>
            <w:tcW w:w="846"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96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55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973D5B" w:rsidTr="00C23326">
        <w:trPr>
          <w:cantSplit/>
          <w:trHeight w:hRule="exact" w:val="881"/>
          <w:jc w:val="center"/>
        </w:trPr>
        <w:tc>
          <w:tcPr>
            <w:tcW w:w="846" w:type="dxa"/>
            <w:vAlign w:val="center"/>
          </w:tcPr>
          <w:p w:rsidR="00973D5B" w:rsidRDefault="00973D5B" w:rsidP="00EE365E">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969" w:type="dxa"/>
            <w:vAlign w:val="center"/>
          </w:tcPr>
          <w:p w:rsidR="00C23326" w:rsidRDefault="00C23326" w:rsidP="00EE365E">
            <w:pPr>
              <w:spacing w:line="0" w:lineRule="atLeast"/>
              <w:jc w:val="center"/>
              <w:rPr>
                <w:rFonts w:ascii="仿宋_GB2312" w:eastAsia="仿宋_GB2312" w:hAnsi="宋体"/>
                <w:sz w:val="24"/>
                <w:szCs w:val="24"/>
              </w:rPr>
            </w:pPr>
            <w:r w:rsidRPr="00D63D62">
              <w:rPr>
                <w:rFonts w:ascii="仿宋_GB2312" w:eastAsia="仿宋_GB2312" w:hAnsi="宋体" w:hint="eastAsia"/>
                <w:sz w:val="24"/>
                <w:szCs w:val="24"/>
              </w:rPr>
              <w:t>河南理工大学</w:t>
            </w:r>
            <w:r w:rsidR="006B3CF5">
              <w:rPr>
                <w:rFonts w:ascii="仿宋_GB2312" w:eastAsia="仿宋_GB2312" w:hAnsi="宋体" w:hint="eastAsia"/>
                <w:sz w:val="24"/>
                <w:szCs w:val="24"/>
              </w:rPr>
              <w:t>校园网</w:t>
            </w:r>
            <w:r w:rsidR="00155C2D">
              <w:rPr>
                <w:rFonts w:ascii="仿宋_GB2312" w:eastAsia="仿宋_GB2312" w:hAnsi="宋体" w:hint="eastAsia"/>
                <w:sz w:val="24"/>
                <w:szCs w:val="24"/>
              </w:rPr>
              <w:t>移动</w:t>
            </w:r>
            <w:r w:rsidR="006B3CF5">
              <w:rPr>
                <w:rFonts w:ascii="仿宋_GB2312" w:eastAsia="仿宋_GB2312" w:hAnsi="宋体" w:hint="eastAsia"/>
                <w:sz w:val="24"/>
                <w:szCs w:val="24"/>
              </w:rPr>
              <w:t>出口</w:t>
            </w:r>
          </w:p>
          <w:p w:rsidR="00973D5B" w:rsidRPr="00306F56" w:rsidRDefault="006B3CF5"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带宽</w:t>
            </w:r>
            <w:r w:rsidR="00973D5B" w:rsidRPr="00306F56">
              <w:rPr>
                <w:rFonts w:ascii="仿宋_GB2312" w:eastAsia="仿宋_GB2312" w:hAnsi="宋体" w:hint="eastAsia"/>
                <w:sz w:val="24"/>
                <w:szCs w:val="24"/>
              </w:rPr>
              <w:t>服务</w:t>
            </w:r>
            <w:bookmarkStart w:id="0" w:name="_GoBack"/>
            <w:bookmarkEnd w:id="0"/>
          </w:p>
        </w:tc>
        <w:tc>
          <w:tcPr>
            <w:tcW w:w="559"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套</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973D5B" w:rsidRPr="00306F56" w:rsidRDefault="00973D5B"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是</w:t>
            </w:r>
          </w:p>
        </w:tc>
      </w:tr>
      <w:tr w:rsidR="00446ECF" w:rsidTr="00C23326">
        <w:trPr>
          <w:cantSplit/>
          <w:trHeight w:hRule="exact" w:val="1046"/>
          <w:jc w:val="center"/>
        </w:trPr>
        <w:tc>
          <w:tcPr>
            <w:tcW w:w="846" w:type="dxa"/>
            <w:vAlign w:val="center"/>
          </w:tcPr>
          <w:p w:rsidR="00446ECF" w:rsidRDefault="00446ECF" w:rsidP="00446ECF">
            <w:pPr>
              <w:spacing w:line="0" w:lineRule="atLeast"/>
              <w:jc w:val="center"/>
              <w:rPr>
                <w:rFonts w:ascii="仿宋_GB2312" w:eastAsia="仿宋_GB2312" w:hAnsi="宋体"/>
                <w:sz w:val="28"/>
                <w:szCs w:val="28"/>
              </w:rPr>
            </w:pPr>
            <w:r>
              <w:rPr>
                <w:rFonts w:ascii="仿宋_GB2312" w:eastAsia="仿宋_GB2312" w:hAnsi="宋体"/>
                <w:sz w:val="28"/>
                <w:szCs w:val="28"/>
              </w:rPr>
              <w:t>2</w:t>
            </w:r>
          </w:p>
        </w:tc>
        <w:tc>
          <w:tcPr>
            <w:tcW w:w="3969" w:type="dxa"/>
            <w:vAlign w:val="center"/>
          </w:tcPr>
          <w:p w:rsidR="00446ECF" w:rsidRPr="00306F56" w:rsidRDefault="00446ECF" w:rsidP="00446ECF">
            <w:pPr>
              <w:spacing w:line="0" w:lineRule="atLeast"/>
              <w:jc w:val="center"/>
              <w:rPr>
                <w:rFonts w:ascii="仿宋_GB2312" w:eastAsia="仿宋_GB2312" w:hAnsi="宋体"/>
                <w:sz w:val="24"/>
                <w:szCs w:val="24"/>
              </w:rPr>
            </w:pPr>
            <w:r w:rsidRPr="00446ECF">
              <w:rPr>
                <w:rFonts w:ascii="仿宋_GB2312" w:eastAsia="仿宋_GB2312" w:hAnsi="宋体" w:hint="eastAsia"/>
                <w:sz w:val="24"/>
                <w:szCs w:val="24"/>
              </w:rPr>
              <w:t>南校区到第一附属医院的</w:t>
            </w:r>
            <w:r>
              <w:rPr>
                <w:rFonts w:ascii="仿宋_GB2312" w:eastAsia="仿宋_GB2312" w:hAnsi="宋体" w:hint="eastAsia"/>
                <w:sz w:val="24"/>
                <w:szCs w:val="24"/>
              </w:rPr>
              <w:t>专用</w:t>
            </w:r>
            <w:r w:rsidRPr="00446ECF">
              <w:rPr>
                <w:rFonts w:ascii="仿宋_GB2312" w:eastAsia="仿宋_GB2312" w:hAnsi="宋体" w:hint="eastAsia"/>
                <w:sz w:val="24"/>
                <w:szCs w:val="24"/>
              </w:rPr>
              <w:t>线路、南校区到西校区</w:t>
            </w:r>
            <w:r>
              <w:rPr>
                <w:rFonts w:ascii="仿宋_GB2312" w:eastAsia="仿宋_GB2312" w:hAnsi="宋体" w:hint="eastAsia"/>
                <w:sz w:val="24"/>
                <w:szCs w:val="24"/>
              </w:rPr>
              <w:t>专用</w:t>
            </w:r>
            <w:r w:rsidRPr="00446ECF">
              <w:rPr>
                <w:rFonts w:ascii="仿宋_GB2312" w:eastAsia="仿宋_GB2312" w:hAnsi="宋体" w:hint="eastAsia"/>
                <w:sz w:val="24"/>
                <w:szCs w:val="24"/>
              </w:rPr>
              <w:t>线路</w:t>
            </w:r>
          </w:p>
        </w:tc>
        <w:tc>
          <w:tcPr>
            <w:tcW w:w="559" w:type="dxa"/>
            <w:vAlign w:val="center"/>
          </w:tcPr>
          <w:p w:rsidR="00446ECF" w:rsidRPr="00306F56" w:rsidRDefault="00446ECF" w:rsidP="00446ECF">
            <w:pPr>
              <w:spacing w:line="0" w:lineRule="atLeast"/>
              <w:jc w:val="center"/>
              <w:rPr>
                <w:rFonts w:ascii="仿宋_GB2312" w:eastAsia="仿宋_GB2312" w:hAnsi="宋体"/>
                <w:sz w:val="24"/>
                <w:szCs w:val="24"/>
              </w:rPr>
            </w:pPr>
            <w:r>
              <w:rPr>
                <w:rFonts w:ascii="仿宋_GB2312" w:eastAsia="仿宋_GB2312" w:hAnsi="宋体" w:hint="eastAsia"/>
                <w:sz w:val="24"/>
                <w:szCs w:val="24"/>
              </w:rPr>
              <w:t>2</w:t>
            </w:r>
          </w:p>
        </w:tc>
        <w:tc>
          <w:tcPr>
            <w:tcW w:w="992" w:type="dxa"/>
            <w:vAlign w:val="center"/>
          </w:tcPr>
          <w:p w:rsidR="00446ECF" w:rsidRPr="00306F56" w:rsidRDefault="00446ECF" w:rsidP="00446ECF">
            <w:pPr>
              <w:spacing w:line="0" w:lineRule="atLeast"/>
              <w:jc w:val="center"/>
              <w:rPr>
                <w:rFonts w:ascii="仿宋_GB2312" w:eastAsia="仿宋_GB2312" w:hAnsi="宋体"/>
                <w:sz w:val="24"/>
                <w:szCs w:val="24"/>
              </w:rPr>
            </w:pPr>
            <w:r>
              <w:rPr>
                <w:rFonts w:ascii="仿宋_GB2312" w:eastAsia="仿宋_GB2312" w:hAnsi="宋体" w:hint="eastAsia"/>
                <w:sz w:val="24"/>
                <w:szCs w:val="24"/>
              </w:rPr>
              <w:t>条</w:t>
            </w:r>
          </w:p>
        </w:tc>
        <w:tc>
          <w:tcPr>
            <w:tcW w:w="992" w:type="dxa"/>
            <w:vAlign w:val="center"/>
          </w:tcPr>
          <w:p w:rsidR="00446ECF" w:rsidRPr="00306F56" w:rsidRDefault="00446ECF" w:rsidP="00446ECF">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446ECF" w:rsidRPr="00306F56" w:rsidRDefault="00446ECF" w:rsidP="00446ECF">
            <w:pPr>
              <w:spacing w:line="0" w:lineRule="atLeast"/>
              <w:jc w:val="center"/>
              <w:rPr>
                <w:rFonts w:ascii="仿宋_GB2312" w:eastAsia="仿宋_GB2312" w:hAnsi="宋体"/>
                <w:sz w:val="24"/>
                <w:szCs w:val="24"/>
              </w:rPr>
            </w:pPr>
            <w:r>
              <w:rPr>
                <w:rFonts w:ascii="仿宋_GB2312" w:eastAsia="仿宋_GB2312" w:hAnsi="宋体" w:hint="eastAsia"/>
                <w:sz w:val="24"/>
                <w:szCs w:val="24"/>
              </w:rPr>
              <w:t>否</w:t>
            </w:r>
          </w:p>
        </w:tc>
      </w:tr>
    </w:tbl>
    <w:p w:rsidR="00973D5B" w:rsidRDefault="00973D5B" w:rsidP="00973D5B">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973D5B" w:rsidRDefault="00973D5B" w:rsidP="00973D5B">
      <w:pPr>
        <w:adjustRightInd w:val="0"/>
        <w:snapToGrid w:val="0"/>
        <w:spacing w:line="348" w:lineRule="auto"/>
        <w:ind w:right="420"/>
        <w:rPr>
          <w:rFonts w:ascii="黑体" w:eastAsia="黑体" w:hAnsi="黑体"/>
          <w:sz w:val="28"/>
          <w:szCs w:val="28"/>
        </w:rPr>
      </w:pPr>
    </w:p>
    <w:p w:rsidR="00973D5B" w:rsidRDefault="00973D5B" w:rsidP="00973D5B">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953"/>
        <w:gridCol w:w="846"/>
        <w:gridCol w:w="5124"/>
      </w:tblGrid>
      <w:tr w:rsidR="00973D5B" w:rsidTr="00EE365E">
        <w:trPr>
          <w:trHeight w:val="958"/>
          <w:jc w:val="center"/>
        </w:trPr>
        <w:tc>
          <w:tcPr>
            <w:tcW w:w="84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序号</w:t>
            </w:r>
          </w:p>
        </w:tc>
        <w:tc>
          <w:tcPr>
            <w:tcW w:w="195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采购需求</w:t>
            </w:r>
          </w:p>
        </w:tc>
      </w:tr>
      <w:tr w:rsidR="00973D5B" w:rsidTr="00665E82">
        <w:trPr>
          <w:trHeight w:hRule="exact" w:val="11697"/>
          <w:jc w:val="center"/>
        </w:trPr>
        <w:tc>
          <w:tcPr>
            <w:tcW w:w="843" w:type="dxa"/>
            <w:tcBorders>
              <w:top w:val="single" w:sz="4" w:space="0" w:color="auto"/>
            </w:tcBorders>
            <w:vAlign w:val="center"/>
          </w:tcPr>
          <w:p w:rsidR="00973D5B" w:rsidRDefault="00973D5B" w:rsidP="00EE365E">
            <w:pPr>
              <w:jc w:val="center"/>
              <w:rPr>
                <w:rFonts w:ascii="宋体" w:hAnsi="宋体"/>
                <w:szCs w:val="18"/>
              </w:rPr>
            </w:pPr>
            <w:r>
              <w:rPr>
                <w:rFonts w:ascii="宋体" w:hAnsi="宋体" w:hint="eastAsia"/>
                <w:szCs w:val="18"/>
              </w:rPr>
              <w:t>1</w:t>
            </w:r>
          </w:p>
        </w:tc>
        <w:tc>
          <w:tcPr>
            <w:tcW w:w="1953" w:type="dxa"/>
            <w:tcBorders>
              <w:top w:val="single" w:sz="4" w:space="0" w:color="auto"/>
            </w:tcBorders>
            <w:vAlign w:val="center"/>
          </w:tcPr>
          <w:p w:rsidR="00973D5B" w:rsidRPr="00306F56" w:rsidRDefault="0099265F" w:rsidP="00EE365E">
            <w:pPr>
              <w:jc w:val="center"/>
              <w:rPr>
                <w:rFonts w:ascii="仿宋_GB2312" w:eastAsia="仿宋_GB2312" w:hAnsi="宋体"/>
                <w:sz w:val="24"/>
                <w:szCs w:val="24"/>
              </w:rPr>
            </w:pPr>
            <w:r w:rsidRPr="00D63D62">
              <w:rPr>
                <w:rFonts w:ascii="仿宋_GB2312" w:eastAsia="仿宋_GB2312" w:hAnsi="宋体" w:hint="eastAsia"/>
                <w:sz w:val="24"/>
                <w:szCs w:val="24"/>
              </w:rPr>
              <w:t>校园网</w:t>
            </w:r>
            <w:r>
              <w:rPr>
                <w:rFonts w:ascii="仿宋_GB2312" w:eastAsia="仿宋_GB2312" w:hAnsi="宋体" w:hint="eastAsia"/>
                <w:sz w:val="24"/>
                <w:szCs w:val="24"/>
              </w:rPr>
              <w:t>移动</w:t>
            </w:r>
            <w:r w:rsidRPr="00D63D62">
              <w:rPr>
                <w:rFonts w:ascii="仿宋_GB2312" w:eastAsia="仿宋_GB2312" w:hAnsi="宋体" w:hint="eastAsia"/>
                <w:sz w:val="24"/>
                <w:szCs w:val="24"/>
              </w:rPr>
              <w:t>出口带宽</w:t>
            </w:r>
          </w:p>
        </w:tc>
        <w:tc>
          <w:tcPr>
            <w:tcW w:w="846" w:type="dxa"/>
            <w:tcBorders>
              <w:top w:val="single" w:sz="4" w:space="0" w:color="auto"/>
            </w:tcBorders>
            <w:vAlign w:val="center"/>
          </w:tcPr>
          <w:p w:rsidR="00973D5B" w:rsidRPr="00306F56" w:rsidRDefault="00973D5B" w:rsidP="00EE365E">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721360" w:rsidRPr="00721360" w:rsidRDefault="00721360"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★1</w:t>
            </w:r>
            <w:r w:rsidRPr="00721360">
              <w:rPr>
                <w:rFonts w:ascii="仿宋_GB2312" w:eastAsia="仿宋_GB2312" w:hAnsi="宋体"/>
                <w:sz w:val="24"/>
                <w:szCs w:val="24"/>
              </w:rPr>
              <w:t>.</w:t>
            </w:r>
            <w:r w:rsidR="00502319" w:rsidRPr="00502319">
              <w:rPr>
                <w:rFonts w:ascii="仿宋_GB2312" w:eastAsia="仿宋_GB2312" w:hAnsi="宋体" w:hint="eastAsia"/>
                <w:sz w:val="24"/>
                <w:szCs w:val="24"/>
              </w:rPr>
              <w:t>中国移动通信集团河南有限公司焦作分公司</w:t>
            </w:r>
            <w:r w:rsidRPr="00721360">
              <w:rPr>
                <w:rFonts w:ascii="仿宋_GB2312" w:eastAsia="仿宋_GB2312" w:hAnsi="宋体" w:hint="eastAsia"/>
                <w:sz w:val="24"/>
                <w:szCs w:val="24"/>
              </w:rPr>
              <w:t>提供不少于</w:t>
            </w:r>
            <w:r w:rsidR="00AB0542">
              <w:rPr>
                <w:rFonts w:ascii="仿宋_GB2312" w:eastAsia="仿宋_GB2312" w:hAnsi="宋体"/>
                <w:sz w:val="24"/>
                <w:szCs w:val="24"/>
              </w:rPr>
              <w:t>5</w:t>
            </w:r>
            <w:r w:rsidRPr="00721360">
              <w:rPr>
                <w:rFonts w:ascii="仿宋_GB2312" w:eastAsia="仿宋_GB2312" w:hAnsi="宋体" w:hint="eastAsia"/>
                <w:sz w:val="24"/>
                <w:szCs w:val="24"/>
              </w:rPr>
              <w:t>G互联网带宽，并接入河南理工大学南校区二号实验楼三楼核心网络机房。</w:t>
            </w:r>
          </w:p>
          <w:p w:rsidR="00721360" w:rsidRPr="00721360" w:rsidRDefault="00721360"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★2</w:t>
            </w:r>
            <w:r w:rsidRPr="00721360">
              <w:rPr>
                <w:rFonts w:ascii="仿宋_GB2312" w:eastAsia="仿宋_GB2312" w:hAnsi="宋体"/>
                <w:sz w:val="24"/>
                <w:szCs w:val="24"/>
              </w:rPr>
              <w:t>.</w:t>
            </w:r>
            <w:r w:rsidRPr="00721360">
              <w:rPr>
                <w:rFonts w:ascii="仿宋_GB2312" w:eastAsia="仿宋_GB2312" w:hAnsi="宋体" w:hint="eastAsia"/>
                <w:sz w:val="24"/>
                <w:szCs w:val="24"/>
              </w:rPr>
              <w:t>互联网线路要求上下行对等、线路聚合。提供互联网合法IP</w:t>
            </w:r>
            <w:r w:rsidRPr="00721360">
              <w:rPr>
                <w:rFonts w:ascii="仿宋_GB2312" w:eastAsia="仿宋_GB2312" w:hAnsi="宋体"/>
                <w:sz w:val="24"/>
                <w:szCs w:val="24"/>
              </w:rPr>
              <w:t>V4</w:t>
            </w:r>
            <w:r w:rsidRPr="00721360">
              <w:rPr>
                <w:rFonts w:ascii="仿宋_GB2312" w:eastAsia="仿宋_GB2312" w:hAnsi="宋体" w:hint="eastAsia"/>
                <w:sz w:val="24"/>
                <w:szCs w:val="24"/>
              </w:rPr>
              <w:t>地址不少于</w:t>
            </w:r>
            <w:r w:rsidR="00AB0542">
              <w:rPr>
                <w:rFonts w:ascii="仿宋_GB2312" w:eastAsia="仿宋_GB2312" w:hAnsi="宋体"/>
                <w:sz w:val="24"/>
                <w:szCs w:val="24"/>
              </w:rPr>
              <w:t>30</w:t>
            </w:r>
            <w:r w:rsidRPr="00721360">
              <w:rPr>
                <w:rFonts w:ascii="仿宋_GB2312" w:eastAsia="仿宋_GB2312" w:hAnsi="宋体" w:hint="eastAsia"/>
                <w:sz w:val="24"/>
                <w:szCs w:val="24"/>
              </w:rPr>
              <w:t>个，支持IP</w:t>
            </w:r>
            <w:r w:rsidRPr="00721360">
              <w:rPr>
                <w:rFonts w:ascii="仿宋_GB2312" w:eastAsia="仿宋_GB2312" w:hAnsi="宋体"/>
                <w:sz w:val="24"/>
                <w:szCs w:val="24"/>
              </w:rPr>
              <w:t>V6</w:t>
            </w:r>
            <w:r w:rsidRPr="00721360">
              <w:rPr>
                <w:rFonts w:ascii="仿宋_GB2312" w:eastAsia="仿宋_GB2312" w:hAnsi="宋体" w:hint="eastAsia"/>
                <w:sz w:val="24"/>
                <w:szCs w:val="24"/>
              </w:rPr>
              <w:t>，链路时延</w:t>
            </w:r>
            <w:r w:rsidRPr="00721360">
              <w:rPr>
                <w:rFonts w:ascii="仿宋_GB2312" w:eastAsia="仿宋_GB2312" w:hAnsi="宋体"/>
                <w:sz w:val="24"/>
                <w:szCs w:val="24"/>
              </w:rPr>
              <w:t>&lt;20ms,</w:t>
            </w:r>
            <w:r w:rsidRPr="00721360">
              <w:rPr>
                <w:rFonts w:ascii="仿宋_GB2312" w:eastAsia="仿宋_GB2312" w:hAnsi="宋体" w:hint="eastAsia"/>
                <w:sz w:val="24"/>
                <w:szCs w:val="24"/>
              </w:rPr>
              <w:t>链路不允许出现丢包率。并根据需要保证目前学校的信息系统备案IP地址的延续性。</w:t>
            </w:r>
          </w:p>
          <w:p w:rsidR="00721360" w:rsidRPr="00721360" w:rsidRDefault="00721360"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★3</w:t>
            </w:r>
            <w:r w:rsidRPr="00721360">
              <w:rPr>
                <w:rFonts w:ascii="仿宋_GB2312" w:eastAsia="仿宋_GB2312" w:hAnsi="宋体"/>
                <w:sz w:val="24"/>
                <w:szCs w:val="24"/>
              </w:rPr>
              <w:t>.</w:t>
            </w:r>
            <w:r w:rsidRPr="00721360">
              <w:rPr>
                <w:rFonts w:ascii="仿宋_GB2312" w:eastAsia="仿宋_GB2312" w:hAnsi="宋体" w:hint="eastAsia"/>
                <w:sz w:val="24"/>
                <w:szCs w:val="24"/>
              </w:rPr>
              <w:t>7×24小时维保服务：</w:t>
            </w:r>
          </w:p>
          <w:p w:rsidR="00665E82" w:rsidRPr="00665E82" w:rsidRDefault="00665E82" w:rsidP="009D4DB3">
            <w:pPr>
              <w:spacing w:line="440" w:lineRule="exact"/>
              <w:ind w:firstLineChars="200" w:firstLine="480"/>
              <w:rPr>
                <w:rFonts w:ascii="仿宋_GB2312" w:eastAsia="仿宋_GB2312" w:hAnsi="宋体"/>
                <w:sz w:val="24"/>
                <w:szCs w:val="24"/>
              </w:rPr>
            </w:pPr>
            <w:r w:rsidRPr="00665E82">
              <w:rPr>
                <w:rFonts w:ascii="仿宋_GB2312" w:eastAsia="仿宋_GB2312" w:hAnsi="宋体" w:hint="eastAsia"/>
                <w:sz w:val="24"/>
                <w:szCs w:val="24"/>
              </w:rPr>
              <w:t>此次项目所有线路和互联用数据为全年7×24小时维保服务。服务方与采购方互联用线路（含两端光模块）故障处理时限为12小时以内；服务方与采购方自有出口设备互联用的设备（含互联用数据）故障处理时限为6小时以内。故障的开始时间以采购方（包括采购方各分支机构）通过可靠方式通知服务方（包括服务方各分支机构）接受的时间为准，故障消除时间以服务方提供的并经采购方确认的时间为准。</w:t>
            </w:r>
          </w:p>
          <w:p w:rsidR="00973D5B" w:rsidRPr="00306F56" w:rsidRDefault="00665E82" w:rsidP="009D4DB3">
            <w:pPr>
              <w:spacing w:line="440" w:lineRule="exact"/>
              <w:ind w:firstLineChars="200" w:firstLine="480"/>
              <w:rPr>
                <w:rFonts w:ascii="仿宋_GB2312" w:eastAsia="仿宋_GB2312" w:hAnsi="宋体"/>
                <w:sz w:val="24"/>
                <w:szCs w:val="24"/>
              </w:rPr>
            </w:pPr>
            <w:r w:rsidRPr="00665E82">
              <w:rPr>
                <w:rFonts w:ascii="仿宋_GB2312" w:eastAsia="仿宋_GB2312" w:hAnsi="宋体" w:hint="eastAsia"/>
                <w:sz w:val="24"/>
                <w:szCs w:val="24"/>
              </w:rPr>
              <w:t>服务方与采购方互联用线路（含两端光模块）、服务方与采购方自有出口设备互联用的设备（含互联用数据）故障维修的费用由服务方支付。服务方不能在上述承诺约定时间内修复故障时，采购方有权请任何第三方提供维保服务或配件，由此而产生的一切费用，由服务方据实支付。</w:t>
            </w:r>
          </w:p>
        </w:tc>
      </w:tr>
      <w:tr w:rsidR="00665E82" w:rsidTr="005B035A">
        <w:trPr>
          <w:trHeight w:val="958"/>
          <w:jc w:val="center"/>
        </w:trPr>
        <w:tc>
          <w:tcPr>
            <w:tcW w:w="84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lastRenderedPageBreak/>
              <w:t>序号</w:t>
            </w:r>
          </w:p>
        </w:tc>
        <w:tc>
          <w:tcPr>
            <w:tcW w:w="195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采购需求</w:t>
            </w:r>
          </w:p>
        </w:tc>
      </w:tr>
      <w:tr w:rsidR="00665E82" w:rsidRPr="00455D9B" w:rsidTr="005967A3">
        <w:trPr>
          <w:trHeight w:hRule="exact" w:val="11506"/>
          <w:jc w:val="center"/>
        </w:trPr>
        <w:tc>
          <w:tcPr>
            <w:tcW w:w="843" w:type="dxa"/>
            <w:tcBorders>
              <w:top w:val="single" w:sz="4" w:space="0" w:color="auto"/>
            </w:tcBorders>
            <w:vAlign w:val="center"/>
          </w:tcPr>
          <w:p w:rsidR="00665E82" w:rsidRPr="00455D9B" w:rsidRDefault="00665E82" w:rsidP="005B035A">
            <w:pPr>
              <w:jc w:val="center"/>
              <w:rPr>
                <w:rFonts w:ascii="仿宋_GB2312" w:eastAsia="仿宋_GB2312" w:hAnsi="宋体"/>
                <w:sz w:val="24"/>
                <w:szCs w:val="24"/>
              </w:rPr>
            </w:pPr>
            <w:r w:rsidRPr="00455D9B">
              <w:rPr>
                <w:rFonts w:ascii="仿宋_GB2312" w:eastAsia="仿宋_GB2312" w:hAnsi="宋体" w:hint="eastAsia"/>
                <w:sz w:val="24"/>
                <w:szCs w:val="24"/>
              </w:rPr>
              <w:t>1</w:t>
            </w:r>
          </w:p>
        </w:tc>
        <w:tc>
          <w:tcPr>
            <w:tcW w:w="1953" w:type="dxa"/>
            <w:tcBorders>
              <w:top w:val="single" w:sz="4" w:space="0" w:color="auto"/>
            </w:tcBorders>
            <w:vAlign w:val="center"/>
          </w:tcPr>
          <w:p w:rsidR="00665E82" w:rsidRPr="00306F56" w:rsidRDefault="0099265F" w:rsidP="005B035A">
            <w:pPr>
              <w:jc w:val="center"/>
              <w:rPr>
                <w:rFonts w:ascii="仿宋_GB2312" w:eastAsia="仿宋_GB2312" w:hAnsi="宋体"/>
                <w:sz w:val="24"/>
                <w:szCs w:val="24"/>
              </w:rPr>
            </w:pPr>
            <w:r w:rsidRPr="00D63D62">
              <w:rPr>
                <w:rFonts w:ascii="仿宋_GB2312" w:eastAsia="仿宋_GB2312" w:hAnsi="宋体" w:hint="eastAsia"/>
                <w:sz w:val="24"/>
                <w:szCs w:val="24"/>
              </w:rPr>
              <w:t>校园网</w:t>
            </w:r>
            <w:r>
              <w:rPr>
                <w:rFonts w:ascii="仿宋_GB2312" w:eastAsia="仿宋_GB2312" w:hAnsi="宋体" w:hint="eastAsia"/>
                <w:sz w:val="24"/>
                <w:szCs w:val="24"/>
              </w:rPr>
              <w:t>移动</w:t>
            </w:r>
            <w:r w:rsidRPr="00D63D62">
              <w:rPr>
                <w:rFonts w:ascii="仿宋_GB2312" w:eastAsia="仿宋_GB2312" w:hAnsi="宋体" w:hint="eastAsia"/>
                <w:sz w:val="24"/>
                <w:szCs w:val="24"/>
              </w:rPr>
              <w:t>出口带宽</w:t>
            </w:r>
          </w:p>
        </w:tc>
        <w:tc>
          <w:tcPr>
            <w:tcW w:w="846" w:type="dxa"/>
            <w:tcBorders>
              <w:top w:val="single" w:sz="4" w:space="0" w:color="auto"/>
            </w:tcBorders>
            <w:vAlign w:val="center"/>
          </w:tcPr>
          <w:p w:rsidR="00665E82" w:rsidRPr="00306F56" w:rsidRDefault="00665E82" w:rsidP="005B035A">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665E82" w:rsidRPr="00455D9B" w:rsidRDefault="009D4DB3" w:rsidP="009D4DB3">
            <w:pPr>
              <w:spacing w:line="440" w:lineRule="exact"/>
              <w:ind w:firstLineChars="200" w:firstLine="480"/>
              <w:rPr>
                <w:rFonts w:ascii="仿宋_GB2312" w:eastAsia="仿宋_GB2312" w:hAnsi="宋体"/>
                <w:sz w:val="24"/>
                <w:szCs w:val="24"/>
              </w:rPr>
            </w:pPr>
            <w:r w:rsidRPr="009D4DB3">
              <w:rPr>
                <w:rFonts w:ascii="仿宋_GB2312" w:eastAsia="仿宋_GB2312" w:hAnsi="宋体" w:hint="eastAsia"/>
                <w:sz w:val="24"/>
                <w:szCs w:val="24"/>
              </w:rPr>
              <w:t>由于服务方原因造成线路障碍又不能按规定时间恢复的，则服务方应减收采购方实际发生故</w:t>
            </w:r>
            <w:r w:rsidR="00AA6506">
              <w:rPr>
                <w:rFonts w:ascii="仿宋_GB2312" w:eastAsia="仿宋_GB2312" w:hAnsi="宋体" w:hint="eastAsia"/>
                <w:sz w:val="24"/>
                <w:szCs w:val="24"/>
              </w:rPr>
              <w:t>障天数</w:t>
            </w:r>
            <w:r w:rsidR="009F1F31" w:rsidRPr="00455D9B">
              <w:rPr>
                <w:rFonts w:ascii="仿宋_GB2312" w:eastAsia="仿宋_GB2312" w:hAnsi="宋体" w:hint="eastAsia"/>
                <w:sz w:val="24"/>
                <w:szCs w:val="24"/>
              </w:rPr>
              <w:t>/365天</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年租用费用），服务方与采购方互联用线路（含两端光模块）故障处理时间超过12小时或服务方与采购方自有出口设备互联用的设备（含互联用数据）故障处理时间超过6小时起当天按1天计算，一次性故障处理天数多于1天的，尾日无论时长多少，均按1天计算。</w:t>
            </w:r>
          </w:p>
          <w:p w:rsidR="00665E82" w:rsidRPr="00455D9B" w:rsidRDefault="00665E82"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sz w:val="24"/>
                <w:szCs w:val="24"/>
              </w:rPr>
              <w:t>4.</w:t>
            </w:r>
            <w:r w:rsidRPr="00455D9B">
              <w:rPr>
                <w:rFonts w:ascii="仿宋_GB2312" w:eastAsia="仿宋_GB2312" w:hAnsi="宋体" w:hint="eastAsia"/>
                <w:sz w:val="24"/>
                <w:szCs w:val="24"/>
              </w:rPr>
              <w:t>7×24小时电话支持服务：</w:t>
            </w:r>
          </w:p>
          <w:p w:rsidR="00665E82" w:rsidRPr="00455D9B" w:rsidRDefault="00665E82"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要求服务方提供7×24小时不间断的电话服务支持，不限次。采购方在互联数据、互联线路如遇到问题,都随时可以从服务方得到电话支持与帮助。</w:t>
            </w:r>
          </w:p>
          <w:p w:rsidR="00665E82" w:rsidRPr="00455D9B" w:rsidRDefault="00665E82"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 xml:space="preserve"> 服务方需指定一名主要联系人及两名替补联系人与采购方联系。一旦接到采购方请求电话,服务方的技术人员将在规定时间内通过电话解决或回答用户所提出的问题。服务方指定工程师因特殊原因离职或更换电话，须及时通知采购方，并指定合格的接替人员</w:t>
            </w:r>
            <w:r w:rsidR="00455D9B" w:rsidRPr="00455D9B">
              <w:rPr>
                <w:rFonts w:ascii="仿宋_GB2312" w:eastAsia="仿宋_GB2312" w:hAnsi="宋体" w:hint="eastAsia"/>
                <w:sz w:val="24"/>
                <w:szCs w:val="24"/>
              </w:rPr>
              <w:t>。</w:t>
            </w:r>
          </w:p>
          <w:p w:rsidR="009F1F31" w:rsidRPr="00455D9B" w:rsidRDefault="009F1F31"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5</w:t>
            </w:r>
            <w:r w:rsidRPr="00455D9B">
              <w:rPr>
                <w:rFonts w:ascii="仿宋_GB2312" w:eastAsia="仿宋_GB2312" w:hAnsi="宋体"/>
                <w:sz w:val="24"/>
                <w:szCs w:val="24"/>
              </w:rPr>
              <w:t>.</w:t>
            </w:r>
            <w:r w:rsidRPr="00455D9B">
              <w:rPr>
                <w:rFonts w:ascii="仿宋_GB2312" w:eastAsia="仿宋_GB2312" w:hAnsi="宋体" w:hint="eastAsia"/>
                <w:sz w:val="24"/>
                <w:szCs w:val="24"/>
              </w:rPr>
              <w:t>其他：</w:t>
            </w:r>
          </w:p>
          <w:p w:rsidR="00665E82" w:rsidRPr="00306F56" w:rsidRDefault="009F1F31"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在服务期内，采购方进行必要的出口带宽扩容、出口IP增加、互联数据调整，服务方的服务范围也相应增加，采购方不再另行支付服务费用。服务方须优先保障学校网络带宽租赁服务及升级或增建信息化合作项目的实施。</w:t>
            </w:r>
          </w:p>
        </w:tc>
      </w:tr>
    </w:tbl>
    <w:p w:rsidR="00455D9B" w:rsidRPr="00455D9B" w:rsidRDefault="009F1F31" w:rsidP="009F1F31">
      <w:r>
        <w:rPr>
          <w:rFonts w:ascii="仿宋_GB2312" w:eastAsia="仿宋_GB2312" w:hAnsi="黑体" w:cs="宋体"/>
          <w:b/>
          <w:bCs/>
          <w:color w:val="000000"/>
          <w:kern w:val="0"/>
          <w:szCs w:val="32"/>
        </w:rPr>
        <w:t>注：该表仅供参考，可根据项目实际情况进行调整。</w:t>
      </w:r>
    </w:p>
    <w:sectPr w:rsidR="00455D9B" w:rsidRPr="00455D9B" w:rsidSect="00BD68A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A2" w:rsidRDefault="00D753A2" w:rsidP="00BD68A5">
      <w:r>
        <w:separator/>
      </w:r>
    </w:p>
  </w:endnote>
  <w:endnote w:type="continuationSeparator" w:id="0">
    <w:p w:rsidR="00D753A2" w:rsidRDefault="00D753A2" w:rsidP="00BD6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A2" w:rsidRDefault="00D753A2" w:rsidP="00BD68A5">
      <w:r>
        <w:separator/>
      </w:r>
    </w:p>
  </w:footnote>
  <w:footnote w:type="continuationSeparator" w:id="0">
    <w:p w:rsidR="00D753A2" w:rsidRDefault="00D753A2" w:rsidP="00BD6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D5B"/>
    <w:rsid w:val="00020B0E"/>
    <w:rsid w:val="00035D53"/>
    <w:rsid w:val="00064A78"/>
    <w:rsid w:val="00131E6A"/>
    <w:rsid w:val="00155C2D"/>
    <w:rsid w:val="001E2E09"/>
    <w:rsid w:val="001F19C6"/>
    <w:rsid w:val="002F4E5B"/>
    <w:rsid w:val="00344FB2"/>
    <w:rsid w:val="00351C24"/>
    <w:rsid w:val="003A27D1"/>
    <w:rsid w:val="00415A56"/>
    <w:rsid w:val="00446ECF"/>
    <w:rsid w:val="00455D9B"/>
    <w:rsid w:val="00461501"/>
    <w:rsid w:val="00462BE3"/>
    <w:rsid w:val="00502319"/>
    <w:rsid w:val="00525CA0"/>
    <w:rsid w:val="005967A3"/>
    <w:rsid w:val="005D03C7"/>
    <w:rsid w:val="006625DF"/>
    <w:rsid w:val="00665E82"/>
    <w:rsid w:val="00674F53"/>
    <w:rsid w:val="006A250D"/>
    <w:rsid w:val="006B3CF5"/>
    <w:rsid w:val="006D29DD"/>
    <w:rsid w:val="00721360"/>
    <w:rsid w:val="007246D2"/>
    <w:rsid w:val="00775014"/>
    <w:rsid w:val="00783C3E"/>
    <w:rsid w:val="00787575"/>
    <w:rsid w:val="00792F0F"/>
    <w:rsid w:val="007975EE"/>
    <w:rsid w:val="007D56B3"/>
    <w:rsid w:val="00844999"/>
    <w:rsid w:val="0091547F"/>
    <w:rsid w:val="009243BA"/>
    <w:rsid w:val="0095380C"/>
    <w:rsid w:val="00973D5B"/>
    <w:rsid w:val="0099265F"/>
    <w:rsid w:val="009937C3"/>
    <w:rsid w:val="009D4DB3"/>
    <w:rsid w:val="009F1F31"/>
    <w:rsid w:val="00A01EAF"/>
    <w:rsid w:val="00A05D5F"/>
    <w:rsid w:val="00A42EA5"/>
    <w:rsid w:val="00AA6506"/>
    <w:rsid w:val="00AB0542"/>
    <w:rsid w:val="00AE3CFB"/>
    <w:rsid w:val="00BA45AF"/>
    <w:rsid w:val="00BD68A5"/>
    <w:rsid w:val="00BF79B3"/>
    <w:rsid w:val="00C23326"/>
    <w:rsid w:val="00C414F2"/>
    <w:rsid w:val="00CD0243"/>
    <w:rsid w:val="00D63D62"/>
    <w:rsid w:val="00D64C97"/>
    <w:rsid w:val="00D753A2"/>
    <w:rsid w:val="00D806C9"/>
    <w:rsid w:val="00DD7B39"/>
    <w:rsid w:val="00E61EC3"/>
    <w:rsid w:val="00EB5FED"/>
    <w:rsid w:val="00EE3452"/>
    <w:rsid w:val="00F451D9"/>
    <w:rsid w:val="00F74E1C"/>
    <w:rsid w:val="00FE7637"/>
    <w:rsid w:val="00FF3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D5B"/>
    <w:pPr>
      <w:widowControl/>
      <w:spacing w:after="150"/>
      <w:jc w:val="left"/>
    </w:pPr>
    <w:rPr>
      <w:rFonts w:ascii="宋体" w:eastAsia="宋体" w:hAnsi="宋体" w:cs="宋体"/>
      <w:color w:val="555555"/>
      <w:kern w:val="0"/>
      <w:sz w:val="24"/>
      <w:szCs w:val="24"/>
    </w:rPr>
  </w:style>
  <w:style w:type="paragraph" w:styleId="a4">
    <w:name w:val="header"/>
    <w:basedOn w:val="a"/>
    <w:link w:val="Char"/>
    <w:uiPriority w:val="99"/>
    <w:unhideWhenUsed/>
    <w:rsid w:val="00BD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8A5"/>
    <w:rPr>
      <w:sz w:val="18"/>
      <w:szCs w:val="18"/>
    </w:rPr>
  </w:style>
  <w:style w:type="paragraph" w:styleId="a5">
    <w:name w:val="footer"/>
    <w:basedOn w:val="a"/>
    <w:link w:val="Char0"/>
    <w:uiPriority w:val="99"/>
    <w:unhideWhenUsed/>
    <w:rsid w:val="00BD68A5"/>
    <w:pPr>
      <w:tabs>
        <w:tab w:val="center" w:pos="4153"/>
        <w:tab w:val="right" w:pos="8306"/>
      </w:tabs>
      <w:snapToGrid w:val="0"/>
      <w:jc w:val="left"/>
    </w:pPr>
    <w:rPr>
      <w:sz w:val="18"/>
      <w:szCs w:val="18"/>
    </w:rPr>
  </w:style>
  <w:style w:type="character" w:customStyle="1" w:styleId="Char0">
    <w:name w:val="页脚 Char"/>
    <w:basedOn w:val="a0"/>
    <w:link w:val="a5"/>
    <w:uiPriority w:val="99"/>
    <w:rsid w:val="00BD68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冯冰洁</dc:creator>
  <cp:keywords/>
  <dc:description/>
  <cp:lastModifiedBy>mxdu</cp:lastModifiedBy>
  <cp:revision>24</cp:revision>
  <dcterms:created xsi:type="dcterms:W3CDTF">2022-06-14T08:18:00Z</dcterms:created>
  <dcterms:modified xsi:type="dcterms:W3CDTF">2022-07-11T06:22:00Z</dcterms:modified>
</cp:coreProperties>
</file>