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jc w:val="left"/>
        <w:rPr>
          <w:rStyle w:val="7"/>
          <w:rFonts w:ascii="仿宋_GB2312" w:hAnsi="宋体" w:eastAsia="仿宋_GB2312"/>
          <w:kern w:val="0"/>
          <w:sz w:val="24"/>
          <w:szCs w:val="24"/>
        </w:rPr>
      </w:pPr>
      <w:r>
        <w:rPr>
          <w:rStyle w:val="7"/>
          <w:rFonts w:ascii="黑体" w:hAnsi="黑体" w:eastAsia="黑体"/>
          <w:sz w:val="28"/>
          <w:szCs w:val="28"/>
        </w:rPr>
        <w:t>四、采购需求</w:t>
      </w:r>
    </w:p>
    <w:tbl>
      <w:tblPr>
        <w:tblStyle w:val="6"/>
        <w:tblW w:w="89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50"/>
        <w:gridCol w:w="1512"/>
        <w:gridCol w:w="6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  <w:t>采购需求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  <w:szCs w:val="24"/>
              </w:rPr>
              <w:t>LED屏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4"/>
              </w:rPr>
            </w:pPr>
            <w:r>
              <w:rPr>
                <w:rStyle w:val="7"/>
                <w:rFonts w:ascii="仿宋_GB2312" w:hAnsi="宋体" w:eastAsia="仿宋_GB2312"/>
                <w:sz w:val="24"/>
                <w:szCs w:val="24"/>
              </w:rPr>
              <w:t>1套</w:t>
            </w:r>
          </w:p>
          <w:p>
            <w:pPr>
              <w:pStyle w:val="2"/>
              <w:spacing w:line="240" w:lineRule="auto"/>
              <w:rPr>
                <w:rStyle w:val="7"/>
                <w:rFonts w:ascii="Times New Roman" w:hAnsi="Times New Roman" w:eastAsia="仿宋_GB2312"/>
                <w:b w:val="0"/>
                <w:sz w:val="21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sz w:val="21"/>
              </w:rPr>
              <w:t>（10平方）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室内小间距全彩显示屏</w:t>
            </w:r>
            <w:r>
              <w:rPr>
                <w:rStyle w:val="7"/>
                <w:rFonts w:hint="eastAsia" w:ascii="宋体" w:hAnsi="宋体"/>
              </w:rPr>
              <w:t>.型号KL-1.8II</w:t>
            </w:r>
          </w:p>
          <w:p>
            <w:pPr>
              <w:snapToGrid w:val="0"/>
              <w:rPr>
                <w:rStyle w:val="7"/>
                <w:rFonts w:ascii="宋体" w:hAnsi="宋体" w:cs="宋体"/>
              </w:rPr>
            </w:pPr>
            <w:r>
              <w:rPr>
                <w:rStyle w:val="7"/>
                <w:rFonts w:hint="eastAsia" w:ascii="宋体" w:hAnsi="宋体" w:cs="宋体"/>
              </w:rPr>
              <w:t>1.点间距≤1.8mm；</w:t>
            </w:r>
          </w:p>
          <w:p>
            <w:pPr>
              <w:snapToGrid w:val="0"/>
            </w:pPr>
            <w:r>
              <w:rPr>
                <w:rStyle w:val="7"/>
                <w:rFonts w:hint="eastAsia" w:ascii="宋体" w:hAnsi="宋体" w:cs="宋体"/>
              </w:rPr>
              <w:t>2.</w:t>
            </w:r>
            <w:r>
              <w:rPr>
                <w:rFonts w:hint="eastAsia"/>
              </w:rPr>
              <w:t>显示比例：16：9</w:t>
            </w:r>
          </w:p>
          <w:p>
            <w:pPr>
              <w:pStyle w:val="17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Style w:val="7"/>
                <w:rFonts w:hint="eastAsia"/>
                <w:kern w:val="2"/>
                <w:szCs w:val="21"/>
              </w:rPr>
              <w:t>3.亮度大于等于800nits</w:t>
            </w:r>
          </w:p>
          <w:p>
            <w:pPr>
              <w:pStyle w:val="17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3.HFR+高帧率模式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4.具备色彩管理技术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5.具有精细灰度提升技术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rStyle w:val="7"/>
              </w:rPr>
            </w:pPr>
            <w:r>
              <w:rPr>
                <w:rFonts w:hint="eastAsia"/>
                <w:szCs w:val="21"/>
              </w:rPr>
              <w:t>6.3840HZ高刷新率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rStyle w:val="7"/>
              </w:rPr>
            </w:pPr>
            <w:r>
              <w:rPr>
                <w:rStyle w:val="7"/>
                <w:rFonts w:hint="eastAsia"/>
              </w:rPr>
              <w:t>7.xyz六向调节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rStyle w:val="7"/>
              </w:rPr>
            </w:pPr>
            <w:r>
              <w:rPr>
                <w:rStyle w:val="7"/>
                <w:rFonts w:hint="eastAsia"/>
              </w:rPr>
              <w:t>8.可支持双卡双电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rStyle w:val="7"/>
              </w:rPr>
            </w:pPr>
            <w:r>
              <w:rPr>
                <w:rStyle w:val="7"/>
                <w:rFonts w:hint="eastAsia"/>
              </w:rPr>
              <w:t>9.超低延迟，画面实时呈现</w:t>
            </w:r>
          </w:p>
          <w:p>
            <w:pPr>
              <w:pStyle w:val="17"/>
              <w:spacing w:line="360" w:lineRule="auto"/>
              <w:ind w:firstLine="0" w:firstLineChars="0"/>
              <w:jc w:val="both"/>
              <w:rPr>
                <w:rStyle w:val="7"/>
              </w:rPr>
            </w:pPr>
            <w:r>
              <w:rPr>
                <w:rStyle w:val="7"/>
                <w:rFonts w:hint="eastAsia"/>
              </w:rPr>
              <w:t>本项目为交钥匙工程需包括所有配件及施工。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控制卡</w:t>
            </w:r>
          </w:p>
          <w:p>
            <w:pPr>
              <w:snapToGrid w:val="0"/>
              <w:rPr>
                <w:rStyle w:val="7"/>
                <w:rFonts w:ascii="宋体" w:hAnsi="宋体"/>
                <w:kern w:val="0"/>
              </w:rPr>
            </w:pPr>
            <w:r>
              <w:rPr>
                <w:rStyle w:val="7"/>
                <w:rFonts w:ascii="宋体" w:hAnsi="宋体"/>
                <w:kern w:val="0"/>
              </w:rPr>
              <w:t>1.HDMI/DVI视频输入；自带LCD液晶面板，可进行按钮调试，检测运行状态；</w:t>
            </w:r>
          </w:p>
          <w:p>
            <w:pPr>
              <w:snapToGrid w:val="0"/>
              <w:rPr>
                <w:rStyle w:val="7"/>
                <w:rFonts w:ascii="宋体" w:hAnsi="宋体"/>
                <w:kern w:val="0"/>
              </w:rPr>
            </w:pPr>
            <w:r>
              <w:rPr>
                <w:rStyle w:val="7"/>
                <w:rFonts w:ascii="宋体" w:hAnsi="宋体"/>
                <w:kern w:val="0"/>
              </w:rPr>
              <w:t>2.支持高位阶视频输入，12bit/10bit/8bit；</w:t>
            </w:r>
          </w:p>
          <w:p>
            <w:pPr>
              <w:snapToGrid w:val="0"/>
              <w:rPr>
                <w:rStyle w:val="7"/>
                <w:rFonts w:ascii="宋体" w:hAnsi="宋体"/>
                <w:kern w:val="0"/>
              </w:rPr>
            </w:pPr>
            <w:r>
              <w:rPr>
                <w:rStyle w:val="7"/>
                <w:rFonts w:ascii="宋体" w:hAnsi="宋体"/>
                <w:kern w:val="0"/>
              </w:rPr>
              <w:t>3.普通视频带载能力：1920×1200，2048×1152，2560×960；</w:t>
            </w:r>
          </w:p>
          <w:p>
            <w:pPr>
              <w:snapToGrid w:val="0"/>
              <w:rPr>
                <w:rStyle w:val="7"/>
                <w:rFonts w:ascii="宋体" w:hAnsi="宋体"/>
                <w:kern w:val="0"/>
              </w:rPr>
            </w:pPr>
            <w:r>
              <w:rPr>
                <w:rStyle w:val="7"/>
                <w:rFonts w:ascii="宋体" w:hAnsi="宋体"/>
                <w:kern w:val="0"/>
              </w:rPr>
              <w:t>4.支持视频格式：RGB，YCrCb4:2:2，YCrCb4:4:4；</w:t>
            </w:r>
          </w:p>
          <w:p>
            <w:pPr>
              <w:snapToGrid w:val="0"/>
              <w:rPr>
                <w:rStyle w:val="7"/>
                <w:rFonts w:ascii="宋体" w:hAnsi="宋体" w:cs="宋体"/>
                <w:bCs/>
              </w:rPr>
            </w:pPr>
            <w:r>
              <w:rPr>
                <w:rStyle w:val="7"/>
                <w:rFonts w:ascii="宋体" w:hAnsi="宋体"/>
                <w:kern w:val="0"/>
              </w:rPr>
              <w:t>5.为保证系统兼容性LED显示控制器与全彩LED显示屏为同一品牌产品</w:t>
            </w:r>
            <w:r>
              <w:rPr>
                <w:rStyle w:val="7"/>
                <w:rFonts w:ascii="宋体" w:hAnsi="宋体" w:cs="宋体"/>
                <w:bCs/>
                <w:kern w:val="0"/>
              </w:rPr>
              <w:t>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多屏拼接处理器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1.支持常见的视频接口，包括 1 路 3G-SDI，2 路 HDMI1.3，1 路 DVI，1 路 CVBS，1 路 VGA，1 路 USB 播放。  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</w:rPr>
              <w:t>2.</w:t>
            </w: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>支持 3 个窗口和 1 路 OSD。</w:t>
            </w:r>
            <w:r>
              <w:rPr>
                <w:rStyle w:val="7"/>
                <w:rFonts w:hint="eastAsia" w:ascii="宋体" w:hAnsi="宋体"/>
                <w:color w:val="000000"/>
                <w:kern w:val="0"/>
              </w:rPr>
              <w:t>可手机APP远程控制开关机及定时开关功能。</w:t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  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3.支持快捷配屏和高级配屏功能。  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/>
              <w:sym w:font="Wingdings" w:char="F06C"/>
            </w: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4.支持 HDMI、DVI 输入分辨率自定义调节。    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/>
              <w:sym w:font="Wingdings" w:char="F06C"/>
            </w: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5.视频输出最大带载高达 390 万像素。支持6网口输出；   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</w:rPr>
              <w:t>6.支持一键将优先级最低的窗口全屏自动缩放，增强产品实用性能。</w:t>
            </w:r>
          </w:p>
          <w:p>
            <w:pPr>
              <w:snapToGrid w:val="0"/>
              <w:rPr>
                <w:rStyle w:val="7"/>
                <w:rFonts w:ascii="宋体" w:hAnsi="宋体"/>
                <w:color w:val="000000"/>
                <w:kern w:val="0"/>
              </w:rPr>
            </w:pPr>
            <w:r>
              <w:rPr/>
              <w:sym w:font="Wingdings" w:char="F06C"/>
            </w:r>
            <w:r>
              <w:rPr>
                <w:rStyle w:val="7"/>
                <w:rFonts w:ascii="宋体" w:hAnsi="宋体"/>
                <w:color w:val="000000"/>
                <w:kern w:val="0"/>
              </w:rPr>
              <w:t xml:space="preserve">7.支持创建 10 个用户场景作为模板保存，方便使用。  </w:t>
            </w:r>
          </w:p>
          <w:p>
            <w:pPr>
              <w:snapToGrid w:val="0"/>
            </w:pPr>
            <w:r>
              <w:rPr>
                <w:rStyle w:val="7"/>
                <w:rFonts w:ascii="宋体" w:hAnsi="宋体"/>
                <w:color w:val="000000"/>
                <w:kern w:val="0"/>
              </w:rPr>
              <w:t>8.为保证软硬件系统兼容性，提供与LED厂商同一名称的CCC认证。；</w:t>
            </w:r>
          </w:p>
          <w:p>
            <w:pPr>
              <w:snapToGrid w:val="0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五、支架及结构件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1.安装结构能满足LED高清显示屏的整体均匀平滑要求，采用环保型材，结构应便于安装和调试。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hint="eastAsia" w:ascii="宋体" w:hAnsi="宋体"/>
                <w:kern w:val="0"/>
              </w:rPr>
            </w:pPr>
            <w:r>
              <w:rPr>
                <w:rStyle w:val="7"/>
                <w:rFonts w:ascii="宋体" w:hAnsi="宋体"/>
              </w:rPr>
              <w:t>2.采用国标金属材料制作，定制装置，拆装方便；具备间距调节装置，可实现精确调节，显示模组之间的缝隙均匀，显示效果清晰；钢结构框架，所有材料采用国家标准材料施工制作，防锈防氧化处理</w:t>
            </w:r>
            <w:r>
              <w:rPr>
                <w:rStyle w:val="7"/>
                <w:rFonts w:ascii="宋体" w:hAnsi="宋体"/>
                <w:kern w:val="0"/>
              </w:rPr>
              <w:t>LED显示屏其框架材料经过严格环保、无毒测试,符合国家《GB/T26572-2011》标准限量要求。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  <w:kern w:val="0"/>
              </w:rPr>
              <w:t>五、</w:t>
            </w:r>
            <w:r>
              <w:rPr>
                <w:rStyle w:val="7"/>
                <w:rFonts w:ascii="宋体" w:hAnsi="宋体"/>
              </w:rPr>
              <w:t>线缆及辅材：包含伴工品牌国标DVI线缆、网线、电源线等转换头等。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六、大屏幕控制软件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1.支持多种视频格式、图片、动画、Office文件、文字、时钟、走马灯、天气、计时、温湿度、流媒体、网页、采集卡、摄像头、Rss简讯；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2.丰富的媒体属性：包括透明、背景颜色、背景图片、透明度、音量、显示比例、出入场特效、特效速度、文字颜色、炫彩效果、字体、风格等；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3.页面支持一个或多个窗口；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4.支持多个窗口个数不同的页面按次数或播放时长切换播放，且切换过程平滑无黑帧；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5.可设置不同的日期和时间播放不同的节目页；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6.可实现多台异地显示屏同步播放；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7.为保证后期LED大屏控制软件使用的及后期升级的安全性，以及具备后期对接其他平台进行二次开发的能力，LED显示屏厂家需具备CMMI软件成熟度证书以及软件包加密升级管理软件；</w:t>
            </w:r>
          </w:p>
          <w:p>
            <w:pPr>
              <w:tabs>
                <w:tab w:val="left" w:pos="425"/>
              </w:tabs>
              <w:spacing w:line="280" w:lineRule="exact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软件与LED显示屏制造厂商为同一厂家;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Style w:val="7"/>
                <w:rFonts w:ascii="宋体" w:hAnsi="宋体"/>
                <w:kern w:val="0"/>
              </w:rPr>
              <w:t>七、装修：含拆装原室内背景墙，电线铺设等。要和原室内风格一致，和原会议、音频系统无缝对接。</w:t>
            </w:r>
          </w:p>
          <w:p>
            <w:pPr>
              <w:snapToGrid w:val="0"/>
              <w:rPr>
                <w:rStyle w:val="7"/>
                <w:rFonts w:ascii="宋体" w:hAnsi="宋体"/>
                <w:kern w:val="0"/>
              </w:rPr>
            </w:pPr>
            <w:r>
              <w:rPr>
                <w:rStyle w:val="7"/>
                <w:rFonts w:ascii="宋体" w:hAnsi="宋体"/>
                <w:kern w:val="0"/>
              </w:rPr>
              <w:t>拒绝组装产品，仿冒产品，为保证产品质量，供货时提供以上产品资料</w:t>
            </w:r>
            <w:r>
              <w:rPr>
                <w:rStyle w:val="7"/>
                <w:rFonts w:hint="eastAsia" w:ascii="宋体" w:hAnsi="宋体"/>
                <w:kern w:val="0"/>
              </w:rPr>
              <w:t>原件</w:t>
            </w:r>
            <w:r>
              <w:rPr>
                <w:rStyle w:val="7"/>
                <w:rFonts w:ascii="宋体" w:hAnsi="宋体"/>
                <w:kern w:val="0"/>
              </w:rPr>
              <w:t>！</w:t>
            </w:r>
          </w:p>
        </w:tc>
      </w:tr>
    </w:tbl>
    <w:p>
      <w:pPr>
        <w:adjustRightInd w:val="0"/>
        <w:snapToGrid w:val="0"/>
        <w:spacing w:line="348" w:lineRule="auto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48" w:lineRule="auto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48" w:lineRule="auto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质保期：一年；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775"/>
    <w:multiLevelType w:val="multilevel"/>
    <w:tmpl w:val="66966775"/>
    <w:lvl w:ilvl="0" w:tentative="0">
      <w:start w:val="1"/>
      <w:numFmt w:val="japaneseCounting"/>
      <w:lvlText w:val="%1、"/>
      <w:lvlJc w:val="left"/>
      <w:pPr>
        <w:widowControl/>
        <w:tabs>
          <w:tab w:val="left" w:pos="420"/>
        </w:tabs>
        <w:ind w:left="420" w:hanging="42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tabs>
          <w:tab w:val="left" w:pos="840"/>
        </w:tabs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tabs>
          <w:tab w:val="left" w:pos="1260"/>
        </w:tabs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tabs>
          <w:tab w:val="left" w:pos="1680"/>
        </w:tabs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tabs>
          <w:tab w:val="left" w:pos="2100"/>
        </w:tabs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tabs>
          <w:tab w:val="left" w:pos="2520"/>
        </w:tabs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tabs>
          <w:tab w:val="left" w:pos="2940"/>
        </w:tabs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tabs>
          <w:tab w:val="left" w:pos="3360"/>
        </w:tabs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tabs>
          <w:tab w:val="left" w:pos="3780"/>
        </w:tabs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93E63"/>
    <w:rsid w:val="000B5FF7"/>
    <w:rsid w:val="00186872"/>
    <w:rsid w:val="00307BC5"/>
    <w:rsid w:val="008711C1"/>
    <w:rsid w:val="00A93E63"/>
    <w:rsid w:val="00CA68CB"/>
    <w:rsid w:val="00CE5D6C"/>
    <w:rsid w:val="05621456"/>
    <w:rsid w:val="3072284D"/>
    <w:rsid w:val="35175FC1"/>
    <w:rsid w:val="363A6877"/>
    <w:rsid w:val="36800D13"/>
    <w:rsid w:val="3DAE0B18"/>
    <w:rsid w:val="3FBC771B"/>
    <w:rsid w:val="502E4A92"/>
    <w:rsid w:val="73233FD9"/>
    <w:rsid w:val="79EB3856"/>
    <w:rsid w:val="7A9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60" w:lineRule="auto"/>
      <w:jc w:val="center"/>
    </w:pPr>
    <w:rPr>
      <w:rFonts w:ascii="华文楷体" w:hAnsi="华文楷体" w:eastAsia="华文楷体"/>
      <w:b/>
      <w:sz w:val="30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link w:val="10"/>
    <w:qFormat/>
    <w:uiPriority w:val="0"/>
    <w:rPr>
      <w:rFonts w:ascii="宋体" w:eastAsia="Times New Roman"/>
      <w:color w:val="000000"/>
      <w:sz w:val="24"/>
      <w:szCs w:val="24"/>
      <w:lang w:bidi="ar-SA"/>
    </w:rPr>
  </w:style>
  <w:style w:type="paragraph" w:customStyle="1" w:styleId="10">
    <w:name w:val="UserStyle_1"/>
    <w:link w:val="9"/>
    <w:qFormat/>
    <w:uiPriority w:val="0"/>
    <w:pPr>
      <w:textAlignment w:val="baseline"/>
    </w:pPr>
    <w:rPr>
      <w:rFonts w:ascii="宋体" w:hAnsi="Calibri" w:eastAsia="Times New Roman" w:cstheme="minorBidi"/>
      <w:color w:val="000000"/>
      <w:sz w:val="24"/>
      <w:szCs w:val="24"/>
      <w:lang w:val="en-US" w:eastAsia="zh-CN" w:bidi="ar-SA"/>
    </w:rPr>
  </w:style>
  <w:style w:type="character" w:customStyle="1" w:styleId="11">
    <w:name w:val="UserStyle_2"/>
    <w:basedOn w:val="7"/>
    <w:link w:val="12"/>
    <w:qFormat/>
    <w:uiPriority w:val="0"/>
    <w:rPr>
      <w:sz w:val="18"/>
      <w:szCs w:val="18"/>
    </w:rPr>
  </w:style>
  <w:style w:type="paragraph" w:customStyle="1" w:styleId="12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3"/>
    <w:basedOn w:val="7"/>
    <w:link w:val="14"/>
    <w:qFormat/>
    <w:uiPriority w:val="0"/>
    <w:rPr>
      <w:sz w:val="18"/>
      <w:szCs w:val="18"/>
    </w:rPr>
  </w:style>
  <w:style w:type="paragraph" w:customStyle="1" w:styleId="14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UserStyle_4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table" w:customStyle="1" w:styleId="16">
    <w:name w:val="TableGrid"/>
    <w:basedOn w:val="8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List Paragraph"/>
    <w:basedOn w:val="1"/>
    <w:qFormat/>
    <w:uiPriority w:val="34"/>
    <w:pPr>
      <w:ind w:firstLine="420" w:firstLineChars="200"/>
      <w:jc w:val="left"/>
    </w:pPr>
    <w:rPr>
      <w:rFonts w:ascii="宋体" w:hAnsi="宋体" w:cs="宋体"/>
      <w:kern w:val="0"/>
      <w:szCs w:val="24"/>
    </w:rPr>
  </w:style>
  <w:style w:type="character" w:customStyle="1" w:styleId="18">
    <w:name w:val="页眉 Char"/>
    <w:basedOn w:val="5"/>
    <w:link w:val="4"/>
    <w:qFormat/>
    <w:uiPriority w:val="0"/>
    <w:rPr>
      <w:rFonts w:cstheme="minorBidi"/>
      <w:kern w:val="2"/>
      <w:sz w:val="18"/>
      <w:szCs w:val="18"/>
    </w:rPr>
  </w:style>
  <w:style w:type="character" w:customStyle="1" w:styleId="19">
    <w:name w:val="页脚 Char"/>
    <w:basedOn w:val="5"/>
    <w:link w:val="3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mxdu</Company>
  <Pages>2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2021-12-07T07:53:00Z</dcterms:created>
  <dc:creator>WPS Office</dc:creator>
  <cp:lastModifiedBy>Administrator</cp:lastModifiedBy>
  <dcterms:modified xsi:type="dcterms:W3CDTF">2021-12-11T01:26:10Z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8A71E9153A34402DBFF223533A56E1D6</vt:lpwstr>
  </property>
  <property fmtid="{D5CDD505-2E9C-101B-9397-08002B2CF9AE}" pid="3" name="KSOProductBuildVer">
    <vt:lpwstr>2052-10.1.0.6749</vt:lpwstr>
  </property>
</Properties>
</file>